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@mastodon/mastodon</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22 third-party services across 5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3.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4. Vendor Compliance Metrics</w:t>
      </w:r>
    </w:p>
    <w:p>
      <w:pPr>
        <w:pStyle w:val="Heading3"/>
      </w:pPr>
      <w:r>
        <w:t>Vendor DPA Status</w:t>
      </w:r>
    </w:p>
    <w:p>
      <w:r>
        <w:rPr>
          <w:sz w:val="20"/>
        </w:rPr>
        <w:t xml:space="preserve">Metric  |  Count  |  Percentage  |  Target</w:t>
      </w:r>
    </w:p>
    <w:p>
      <w:r>
        <w:rPr>
          <w:sz w:val="20"/>
        </w:rPr>
        <w:t xml:space="preserve">Total vendors detected  |  22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5.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