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22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ActionCable  |  other  |  **P2**  |  **P3**  |  real-time user data, connection metadata, channel subscriptions  |  Assess per data processed</w:t>
      </w:r>
    </w:p>
    <w:p>
      <w:r>
        <w:rPr>
          <w:sz w:val="20"/>
        </w:rPr>
        <w:t xml:space="preserve">ActionController::Cookies  |  other  |  **P2**  |  **P3**  |  session cookies, session data, CSRF tokens  |  Assess per data processed</w:t>
      </w:r>
    </w:p>
    <w:p>
      <w:r>
        <w:rPr>
          <w:sz w:val="20"/>
        </w:rPr>
        <w:t xml:space="preserve">ActionMailer  |  email  |  **P1**  |  **P2**  |  email addresses, email content  |  CAN-SPAM, GDPR Art. 33/34</w:t>
      </w:r>
    </w:p>
    <w:p>
      <w:r>
        <w:rPr>
          <w:sz w:val="20"/>
        </w:rPr>
        <w:t xml:space="preserve">Active Storage  |  storage  |  **P1**  |  **P2**  |  uploaded files, file metadata, storage service credentials  |  GDPR Art. 33/34 if PII stored</w:t>
      </w:r>
    </w:p>
    <w:p>
      <w:r>
        <w:rPr>
          <w:sz w:val="20"/>
        </w:rPr>
        <w:t xml:space="preserve">ActiveRecord  |  database  |  **P0**  |  **P1**  |  user data as defined in schema, timestamps, associations  |  GDPR Art. 33/34, data breach notification</w:t>
      </w:r>
    </w:p>
    <w:p>
      <w:r>
        <w:rPr>
          <w:sz w:val="20"/>
        </w:rPr>
        <w:t xml:space="preserve">ActiveStorage  |  storage  |  **P1**  |  **P2**  |  uploaded files, file metadata, storage references  |  GDPR Art. 33/34 if PII stored</w:t>
      </w:r>
    </w:p>
    <w:p>
      <w:r>
        <w:rPr>
          <w:sz w:val="20"/>
        </w:rPr>
        <w:t xml:space="preserve">aws-sdk-s3  |  storage  |  **P1**  |  **P2**  |  uploaded files, file metadata  |  GDPR Art. 33/34 if PII stored</w:t>
      </w:r>
    </w:p>
    <w:p>
      <w:r>
        <w:rPr>
          <w:sz w:val="20"/>
        </w:rPr>
        <w:t xml:space="preserve">devise  |  auth  |  **P0**  |  **P1**  |  email, password hash, session data  |  GDPR Art. 33/34, credential breach notification</w:t>
      </w:r>
    </w:p>
    <w:p>
      <w:r>
        <w:rPr>
          <w:sz w:val="20"/>
        </w:rPr>
        <w:t xml:space="preserve">ioredis  |  database  |  **P0**  |  **P1**  |  cached data, session data  |  GDPR Art. 33/34, data breach notification</w:t>
      </w:r>
    </w:p>
    <w:p>
      <w:r>
        <w:rPr>
          <w:sz w:val="20"/>
        </w:rPr>
        <w:t xml:space="preserve">omniauth  |  auth  |  **P0**  |  **P1**  |  email, name, OAuth tokens  |  GDPR Art. 33/34, credential breach notification</w:t>
      </w:r>
    </w:p>
    <w:p>
      <w:r>
        <w:rPr>
          <w:sz w:val="20"/>
        </w:rPr>
        <w:t xml:space="preserve">pg  |  database  |  **P0**  |  **P1**  |  user data as defined in schema  |  GDPR Art. 33/34, data breach notification</w:t>
      </w:r>
    </w:p>
    <w:p>
      <w:r>
        <w:rPr>
          <w:sz w:val="20"/>
        </w:rPr>
        <w:t xml:space="preserve">PostgreSQL  |  database  |  **P0**  |  **P1**  |  application data, user records  |  GDPR Art. 33/34, data breach notification</w:t>
      </w:r>
    </w:p>
    <w:p>
      <w:r>
        <w:rPr>
          <w:sz w:val="20"/>
        </w:rPr>
        <w:t xml:space="preserve">PostgreSQL (env)  |  database  |  **P0**  |  **P1**  |  application data, user records  |  GDPR Art. 33/34, data breach notification</w:t>
      </w:r>
    </w:p>
    <w:p>
      <w:r>
        <w:rPr>
          <w:sz w:val="20"/>
        </w:rPr>
        <w:t xml:space="preserve">pundit  |  auth  |  **P0**  |  **P1**  |  user roles, authorization policies, access control data  |  GDPR Art. 33/34, credential breach notification</w:t>
      </w:r>
    </w:p>
    <w:p>
      <w:r>
        <w:rPr>
          <w:sz w:val="20"/>
        </w:rPr>
        <w:t xml:space="preserve">rack-attack  |  other  |  **P2**  |  **P3**  |  IP addresses, request metadata  |  Assess per data processed</w:t>
      </w:r>
    </w:p>
    <w:p>
      <w:r>
        <w:rPr>
          <w:sz w:val="20"/>
        </w:rPr>
        <w:t xml:space="preserve">rails-actionmailer  |  email  |  **P1**  |  **P2**  |  email addresses, email content  |  CAN-SPAM, GDPR Art. 33/34</w:t>
      </w:r>
    </w:p>
    <w:p>
      <w:r>
        <w:rPr>
          <w:sz w:val="20"/>
        </w:rPr>
        <w:t xml:space="preserve">rails-activerecord  |  database  |  **P0**  |  **P1**  |  user data as defined in schema  |  GDPR Art. 33/34, data breach notification</w:t>
      </w:r>
    </w:p>
    <w:p>
      <w:r>
        <w:rPr>
          <w:sz w:val="20"/>
        </w:rPr>
        <w:t xml:space="preserve">rails-sessions  |  auth  |  **P0**  |  **P1**  |  session cookies, CSRF tokens  |  GDPR Art. 33/34, credential breach notification</w:t>
      </w:r>
    </w:p>
    <w:p>
      <w:r>
        <w:rPr>
          <w:sz w:val="20"/>
        </w:rPr>
        <w:t xml:space="preserve">redis  |  database  |  **P0**  |  **P1**  |  cached data, session data  |  GDPR Art. 33/34, data breach notification</w:t>
      </w:r>
    </w:p>
    <w:p>
      <w:r>
        <w:rPr>
          <w:sz w:val="20"/>
        </w:rPr>
        <w:t xml:space="preserve">Redis  |  database  |  **P0**  |  **P1**  |  session data, cache data  |  GDPR Art. 33/34, data breach notification</w:t>
      </w:r>
    </w:p>
    <w:p>
      <w:r>
        <w:rPr>
          <w:sz w:val="20"/>
        </w:rPr>
        <w:t xml:space="preserve">sidekiq  |  other  |  **P2**  |  **P3**  |  job data, user data processed in background jobs  |  Assess per data processed</w:t>
      </w:r>
    </w:p>
    <w:p>
      <w:r>
        <w:rPr>
          <w:sz w:val="20"/>
        </w:rPr>
        <w:t xml:space="preserve">ws (WebSocket)  |  other  |  **P2**  |  **P3**  |  real-time user data, connection metadata, IP address  |  Assess per data processed</w:t>
      </w:r>
    </w:p>
    <w:p>
      <w:pPr>
        <w:pBdr>
          <w:bottom w:val="single" w:sz="6" w:space="1" w:color="999999"/>
        </w:pBdr>
      </w:pPr>
    </w:p>
    <w:p>
      <w:pPr>
        <w:pStyle w:val="Heading2"/>
      </w:pPr>
      <w:r>
        <w:t>7. Category-Specific Incident Scenarios</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@mastodon/mastodon codebase (22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