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Exit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outlines the migration strategy for each third-party service provider integrated into @mastodon/mastodon. It ensures the organization can transition away from any vendor without unacceptable disruption to service delivery or data loss.</w:t>
      </w:r>
    </w:p>
    <w:p>
      <w:r>
        <w:t xml:space="preserve">This plan is required by enterprise Data Processing Agreements (DPAs) and demonstrates vendor independence in accordance with business continuity best practices.</w:t>
      </w:r>
    </w:p>
    <w:p>
      <w:r>
        <w:t xml:space="preserve">For questions about vendor exit strategies,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Vendor  |  Category  |  Migration Complexity  |  Estimated Timeline  |  Alternatives</w:t>
      </w:r>
    </w:p>
    <w:p>
      <w:r>
        <w:rPr>
          <w:sz w:val="20"/>
        </w:rPr>
        <w:t xml:space="preserve">ActionCable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ActionController::Cookies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ActionMailer  |  email  |  Medium  |  [Estimate based on integration depth and data volume]  |  [Research alternatives based on your requirements]</w:t>
      </w:r>
    </w:p>
    <w:p>
      <w:r>
        <w:rPr>
          <w:sz w:val="20"/>
        </w:rPr>
        <w:t xml:space="preserve">Active Storage  |  storage  |  Medium  |  [Estimate based on integration depth and data volume]  |  [Research alternatives based on your requirements]</w:t>
      </w:r>
    </w:p>
    <w:p>
      <w:r>
        <w:rPr>
          <w:sz w:val="20"/>
        </w:rPr>
        <w:t xml:space="preserve">ActiveRecord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ActiveStorage  |  storage  |  Medium  |  [Estimate based on integration depth and data volume]  |  [Research alternatives based on your requirements]</w:t>
      </w:r>
    </w:p>
    <w:p>
      <w:r>
        <w:rPr>
          <w:sz w:val="20"/>
        </w:rPr>
        <w:t xml:space="preserve">aws-sdk-s3  |  storage  |  Medium  |  [Estimate based on integration depth and data volume]  |  [Research alternatives based on your requirements]</w:t>
      </w:r>
    </w:p>
    <w:p>
      <w:r>
        <w:rPr>
          <w:sz w:val="20"/>
        </w:rPr>
        <w:t xml:space="preserve">devise  |  auth  |  Medium  |  [Estimate based on integration depth and data volume]  |  [Research alternatives based on your requirements]</w:t>
      </w:r>
    </w:p>
    <w:p>
      <w:r>
        <w:rPr>
          <w:sz w:val="20"/>
        </w:rPr>
        <w:t xml:space="preserve">omniauth  |  auth  |  Medium  |  [Estimate based on integration depth and data volume]  |  [Research alternatives based on your requirements]</w:t>
      </w:r>
    </w:p>
    <w:p>
      <w:r>
        <w:rPr>
          <w:sz w:val="20"/>
        </w:rPr>
        <w:t xml:space="preserve">pg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PostgreSQL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PostgreSQL (env)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pundit  |  auth  |  Medium  |  [Estimate based on integration depth and data volume]  |  [Research alternatives based on your requirements]</w:t>
      </w:r>
    </w:p>
    <w:p>
      <w:r>
        <w:rPr>
          <w:sz w:val="20"/>
        </w:rPr>
        <w:t xml:space="preserve">rack-attack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rails-actionmailer  |  email  |  Medium  |  [Estimate based on integration depth and data volume]  |  [Research alternatives based on your requirements]</w:t>
      </w:r>
    </w:p>
    <w:p>
      <w:r>
        <w:rPr>
          <w:sz w:val="20"/>
        </w:rPr>
        <w:t xml:space="preserve">rails-activerecord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rails-sessions  |  auth  |  Medium  |  [Estimate based on integration depth and data volume]  |  [Research alternatives based on your requirements]</w:t>
      </w:r>
    </w:p>
    <w:p>
      <w:r>
        <w:rPr>
          <w:sz w:val="20"/>
        </w:rPr>
        <w:t xml:space="preserve">Redis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sidekiq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ws (WebSocket)  |  other  |  Medium  |  [Estimate based on integration depth and data volume]  |  [Research alternatives based on your requirements]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Exit Plans</w:t>
      </w:r>
    </w:p>
    <w:p>
      <w:pPr>
        <w:pStyle w:val="Heading3"/>
      </w:pPr>
      <w:r>
        <w:t>ActionCable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ActionCable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ActionCable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ActionCable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ActionController::Cookies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ActionController::Cookies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ActionController::Cookies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ActionController::Cookies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ActionMailer</w:t>
      </w:r>
    </w:p>
    <w:p>
      <w:r>
        <w:t xml:space="preserve">Category: email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ActionMailer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ActionMailer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ActionMailer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Active Storage</w:t>
      </w:r>
    </w:p>
    <w:p>
      <w:r>
        <w:t xml:space="preserve">Category: storage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Active Storage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Active Storage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Active Storage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ActiveRecord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ActiveRecord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ActiveRecord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ActiveRecord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ActiveStorage</w:t>
      </w:r>
    </w:p>
    <w:p>
      <w:r>
        <w:t xml:space="preserve">Category: storage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ActiveStorage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ActiveStorage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ActiveStorage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aws-sdk-s3</w:t>
      </w:r>
    </w:p>
    <w:p>
      <w:r>
        <w:t xml:space="preserve">Category: storage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aws-sdk-s3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aws-sdk-s3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aws-sdk-s3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devise</w:t>
      </w:r>
    </w:p>
    <w:p>
      <w:r>
        <w:t xml:space="preserve">Category: auth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devise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devise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devise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omniauth</w:t>
      </w:r>
    </w:p>
    <w:p>
      <w:r>
        <w:t xml:space="preserve">Category: auth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omniauth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omniauth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omniauth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pg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pg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pg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pg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PostgreSQL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PostgreSQL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PostgreSQL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PostgreSQL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PostgreSQL (env)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PostgreSQL (env)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PostgreSQL (env)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PostgreSQL (env)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pundit</w:t>
      </w:r>
    </w:p>
    <w:p>
      <w:r>
        <w:t xml:space="preserve">Category: auth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pundit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pundit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pundit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rack-attack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rack-attack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rack-attack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rack-attack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rails-actionmailer</w:t>
      </w:r>
    </w:p>
    <w:p>
      <w:r>
        <w:t xml:space="preserve">Category: email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rails-actionmailer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rails-actionmailer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rails-actionmailer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rails-activerecord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rails-activerecord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rails-activerecord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rails-activerecord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rails-sessions</w:t>
      </w:r>
    </w:p>
    <w:p>
      <w:r>
        <w:t xml:space="preserve">Category: auth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rails-sessions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rails-sessions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rails-sessions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Redis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Redis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Redis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Redis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sidekiq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sidekiq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sidekiq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sidekiq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ws (WebSocket)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ws (WebSocket)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ws (WebSocket)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ws (WebSocket)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General Migration Framework</w:t>
      </w:r>
    </w:p>
    <w:p>
      <w:pPr>
        <w:pStyle w:val="Heading3"/>
      </w:pPr>
      <w:r>
        <w:t>Phase 1: Planning (Week 1)</w:t>
      </w:r>
    </w:p>
    <w:p>
      <w:pPr>
        <w:pStyle w:val="ListParagraph"/>
        <w:numPr>
          <w:ilvl w:val="0"/>
          <w:numId w:val="2"/>
        </w:numPr>
      </w:pPr>
      <w:r>
        <w:t xml:space="preserve">**Impact Assessment** — Identify all systems, features, and data flows dependent on the vendor</w:t>
      </w:r>
    </w:p>
    <w:p>
      <w:pPr>
        <w:pStyle w:val="ListParagraph"/>
        <w:numPr>
          <w:ilvl w:val="0"/>
          <w:numId w:val="2"/>
        </w:numPr>
      </w:pPr>
      <w:r>
        <w:t xml:space="preserve">**Alternative Evaluation** — Score alternatives on feature parity, pricing, compliance, and data residency</w:t>
      </w:r>
    </w:p>
    <w:p>
      <w:pPr>
        <w:pStyle w:val="ListParagraph"/>
        <w:numPr>
          <w:ilvl w:val="0"/>
          <w:numId w:val="2"/>
        </w:numPr>
      </w:pPr>
      <w:r>
        <w:t xml:space="preserve">**Stakeholder Communication** — Notify affected teams and set expectations for timeline</w:t>
      </w:r>
    </w:p>
    <w:p>
      <w:pPr>
        <w:pStyle w:val="ListParagraph"/>
        <w:numPr>
          <w:ilvl w:val="0"/>
          <w:numId w:val="2"/>
        </w:numPr>
      </w:pPr>
      <w:r>
        <w:t xml:space="preserve">**Budget Approval** — Secure budget for migration effort and potential parallel running costs</w:t>
      </w:r>
    </w:p>
    <w:p>
      <w:pPr>
        <w:pStyle w:val="Heading3"/>
      </w:pPr>
      <w:r>
        <w:t>Phase 2: Preparation (Week 2-3)</w:t>
      </w:r>
    </w:p>
    <w:p>
      <w:pPr>
        <w:pStyle w:val="ListParagraph"/>
        <w:numPr>
          <w:ilvl w:val="0"/>
          <w:numId w:val="2"/>
        </w:numPr>
      </w:pPr>
      <w:r>
        <w:t xml:space="preserve">**Data Export** — Execute full data export from current vendor</w:t>
      </w:r>
    </w:p>
    <w:p>
      <w:pPr>
        <w:pStyle w:val="ListParagraph"/>
        <w:numPr>
          <w:ilvl w:val="0"/>
          <w:numId w:val="2"/>
        </w:numPr>
      </w:pPr>
      <w:r>
        <w:t xml:space="preserve">**Data Validation** — Verify export completeness and integrity</w:t>
      </w:r>
    </w:p>
    <w:p>
      <w:pPr>
        <w:pStyle w:val="ListParagraph"/>
        <w:numPr>
          <w:ilvl w:val="0"/>
          <w:numId w:val="2"/>
        </w:numPr>
      </w:pPr>
      <w:r>
        <w:t xml:space="preserve">**Environment Setup** — Provision accounts and configure new vendor</w:t>
      </w:r>
    </w:p>
    <w:p>
      <w:pPr>
        <w:pStyle w:val="ListParagraph"/>
        <w:numPr>
          <w:ilvl w:val="0"/>
          <w:numId w:val="2"/>
        </w:numPr>
      </w:pPr>
      <w:r>
        <w:t xml:space="preserve">**Code Changes** — Implement abstraction layer or direct replacement in codebase</w:t>
      </w:r>
    </w:p>
    <w:p>
      <w:pPr>
        <w:pStyle w:val="Heading3"/>
      </w:pPr>
      <w:r>
        <w:t>Phase 3: Migration (Week 3-4)</w:t>
      </w:r>
    </w:p>
    <w:p>
      <w:pPr>
        <w:pStyle w:val="ListParagraph"/>
        <w:numPr>
          <w:ilvl w:val="0"/>
          <w:numId w:val="2"/>
        </w:numPr>
      </w:pPr>
      <w:r>
        <w:t xml:space="preserve">**Staging Deployment** — Deploy to staging with new vendor integration</w:t>
      </w:r>
    </w:p>
    <w:p>
      <w:pPr>
        <w:pStyle w:val="ListParagraph"/>
        <w:numPr>
          <w:ilvl w:val="0"/>
          <w:numId w:val="2"/>
        </w:numPr>
      </w:pPr>
      <w:r>
        <w:t xml:space="preserve">**Regression Testing** — Run full test suite against new integration</w:t>
      </w:r>
    </w:p>
    <w:p>
      <w:pPr>
        <w:pStyle w:val="ListParagraph"/>
        <w:numPr>
          <w:ilvl w:val="0"/>
          <w:numId w:val="2"/>
        </w:numPr>
      </w:pPr>
      <w:r>
        <w:t xml:space="preserve">**Performance Testing** — Verify latency, throughput, and reliability meet requirements</w:t>
      </w:r>
    </w:p>
    <w:p>
      <w:pPr>
        <w:pStyle w:val="ListParagraph"/>
        <w:numPr>
          <w:ilvl w:val="0"/>
          <w:numId w:val="2"/>
        </w:numPr>
      </w:pPr>
      <w:r>
        <w:t xml:space="preserve">**Data Migration** — Import historical data into new vendor (if applicable)</w:t>
      </w:r>
    </w:p>
    <w:p>
      <w:pPr>
        <w:pStyle w:val="Heading3"/>
      </w:pPr>
      <w:r>
        <w:t>Phase 4: Cutover (Week 4+)</w:t>
      </w:r>
    </w:p>
    <w:p>
      <w:pPr>
        <w:pStyle w:val="ListParagraph"/>
        <w:numPr>
          <w:ilvl w:val="0"/>
          <w:numId w:val="2"/>
        </w:numPr>
      </w:pPr>
      <w:r>
        <w:t xml:space="preserve">**Blue-Green Deployment** — Run both vendors in parallel during cutover window</w:t>
      </w:r>
    </w:p>
    <w:p>
      <w:pPr>
        <w:pStyle w:val="ListParagraph"/>
        <w:numPr>
          <w:ilvl w:val="0"/>
          <w:numId w:val="2"/>
        </w:numPr>
      </w:pPr>
      <w:r>
        <w:t xml:space="preserve">**Production Switch** — Point production traffic to new vendor</w:t>
      </w:r>
    </w:p>
    <w:p>
      <w:pPr>
        <w:pStyle w:val="ListParagraph"/>
        <w:numPr>
          <w:ilvl w:val="0"/>
          <w:numId w:val="2"/>
        </w:numPr>
      </w:pPr>
      <w:r>
        <w:t xml:space="preserve">**Monitoring** — Watch for errors, performance degradation, and data inconsistencies</w:t>
      </w:r>
    </w:p>
    <w:p>
      <w:pPr>
        <w:pStyle w:val="ListParagraph"/>
        <w:numPr>
          <w:ilvl w:val="0"/>
          <w:numId w:val="2"/>
        </w:numPr>
      </w:pPr>
      <w:r>
        <w:t xml:space="preserve">**Old Vendor Cleanup** — Terminate contract, request data deletion, revoke API keys</w:t>
      </w:r>
    </w:p>
    <w:p>
      <w:pPr>
        <w:pStyle w:val="Heading3"/>
      </w:pPr>
      <w:r>
        <w:t>Phase 5: Post-Migration (Week 5+)</w:t>
      </w:r>
    </w:p>
    <w:p>
      <w:pPr>
        <w:pStyle w:val="ListParagraph"/>
        <w:numPr>
          <w:ilvl w:val="0"/>
          <w:numId w:val="2"/>
        </w:numPr>
      </w:pPr>
      <w:r>
        <w:t xml:space="preserve">**Documentation Update** — Update privacy policy, sub-processor list, vendor contacts</w:t>
      </w:r>
    </w:p>
    <w:p>
      <w:pPr>
        <w:pStyle w:val="ListParagraph"/>
        <w:numPr>
          <w:ilvl w:val="0"/>
          <w:numId w:val="2"/>
        </w:numPr>
      </w:pPr>
      <w:r>
        <w:t xml:space="preserve">**Compliance Review** — Verify new vendor meets all DPA and regulatory requirements</w:t>
      </w:r>
    </w:p>
    <w:p>
      <w:pPr>
        <w:pStyle w:val="ListParagraph"/>
        <w:numPr>
          <w:ilvl w:val="0"/>
          <w:numId w:val="2"/>
        </w:numPr>
      </w:pPr>
      <w:r>
        <w:t xml:space="preserve">**Lessons Learned** — Document migration experience for future reference</w:t>
      </w:r>
    </w:p>
    <w:p>
      <w:pPr>
        <w:pStyle w:val="ListParagraph"/>
        <w:numPr>
          <w:ilvl w:val="0"/>
          <w:numId w:val="2"/>
        </w:numPr>
      </w:pPr>
      <w:r>
        <w:t xml:space="preserve">**Audit Trail** — File migration records for compliance auditing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Data Deletion Verification</w:t>
      </w:r>
    </w:p>
    <w:p>
      <w:r>
        <w:t xml:space="preserve">After completing any vendor migration, verify the following:</w:t>
      </w:r>
    </w:p>
    <w:p>
      <w:pPr>
        <w:pStyle w:val="ListParagraph"/>
        <w:numPr>
          <w:ilvl w:val="0"/>
          <w:numId w:val="1"/>
        </w:numPr>
      </w:pPr>
      <w:r>
        <w:t xml:space="preserve">[ ] All personal data has been deleted from the old vendor per GDPR Art. 17</w:t>
      </w:r>
    </w:p>
    <w:p>
      <w:pPr>
        <w:pStyle w:val="ListParagraph"/>
        <w:numPr>
          <w:ilvl w:val="0"/>
          <w:numId w:val="1"/>
        </w:numPr>
      </w:pPr>
      <w:r>
        <w:t xml:space="preserve">[ ] Vendor has provided written confirmation of data deletion</w:t>
      </w:r>
    </w:p>
    <w:p>
      <w:pPr>
        <w:pStyle w:val="ListParagraph"/>
        <w:numPr>
          <w:ilvl w:val="0"/>
          <w:numId w:val="1"/>
        </w:numPr>
      </w:pPr>
      <w:r>
        <w:t xml:space="preserve">[ ] Backup copies at the vendor have been destroyed (confirm retention schedules)</w:t>
      </w:r>
    </w:p>
    <w:p>
      <w:pPr>
        <w:pStyle w:val="ListParagraph"/>
        <w:numPr>
          <w:ilvl w:val="0"/>
          <w:numId w:val="1"/>
        </w:numPr>
      </w:pPr>
      <w:r>
        <w:t xml:space="preserve">[ ] API keys and access tokens for the old vendor have been revoked</w:t>
      </w:r>
    </w:p>
    <w:p>
      <w:pPr>
        <w:pStyle w:val="ListParagraph"/>
        <w:numPr>
          <w:ilvl w:val="0"/>
          <w:numId w:val="1"/>
        </w:numPr>
      </w:pPr>
      <w:r>
        <w:t xml:space="preserve">[ ] DNS records, webhooks, and integrations pointing to old vendor have been removed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vendor exit plan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vendor management review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pricing, terms, or has a significant incident</w:t>
      </w:r>
    </w:p>
    <w:p>
      <w:pPr>
        <w:pStyle w:val="ListParagraph"/>
        <w:numPr>
          <w:ilvl w:val="0"/>
          <w:numId w:val="1"/>
        </w:numPr>
      </w:pPr>
      <w:r>
        <w:t xml:space="preserve">**Before contract renewal** to evaluate whether migration is advantageous</w:t>
      </w:r>
    </w:p>
    <w:p>
      <w:pPr>
        <w:pBdr>
          <w:bottom w:val="single" w:sz="6" w:space="1" w:color="999999"/>
        </w:pBdr>
      </w:pPr>
    </w:p>
    <w:p>
      <w:r>
        <w:t xml:space="preserve">This vendor exit plan was generated by [Codepliant](https://github.com/joechensmartz/codepliant) based on automated code analysis. Review and customize for your specific requirements.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