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**12**</w:t>
      </w:r>
    </w:p>
    <w:p>
      <w:r>
        <w:rPr>
          <w:sz w:val="20"/>
        </w:rPr>
        <w:t xml:space="preserve">Critical Gaps  |  **4**</w:t>
      </w:r>
    </w:p>
    <w:p>
      <w:r>
        <w:rPr>
          <w:sz w:val="20"/>
        </w:rPr>
        <w:t xml:space="preserve">High Priority Gaps  |  **7**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20</w:t>
      </w:r>
    </w:p>
    <w:p>
      <w:r>
        <w:rPr>
          <w:sz w:val="20"/>
        </w:rPr>
        <w:t xml:space="preserve">Regulations Covered  |  GDPR, EU AI Act, PCI DSS,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AI services detected — DPIA likely required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20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20 third-party services detected  |  Signed DPAs with all sub-processors; annual review process  |  Obtain signed DPAs from all 20 detected sub-processors  |  🟠 High  |  Medium</w:t>
      </w:r>
    </w:p>
    <w:p>
      <w:r>
        <w:rPr>
          <w:sz w:val="20"/>
        </w:rPr>
        <w:t xml:space="preserve">AI Risk Classification  |  AI risk level not classified  |  All AI systems classified; high-risk systems registered in EU database  |  Classify AI systems by risk level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7 gaps identified (2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20 detected sub-processors *(Effort: Medium)*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Classify AI systems by risk level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20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Classify AI systems by risk level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