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20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7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20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ListParagraph"/>
        <w:numPr>
          <w:ilvl w:val="0"/>
          <w:numId w:val="2"/>
        </w:numPr>
      </w:pPr>
      <w:r>
        <w:t xml:space="preserve">[AI Governance] Implement AI model cards and bias monitoring</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ListParagraph"/>
        <w:numPr>
          <w:ilvl w:val="0"/>
          <w:numId w:val="2"/>
        </w:numPr>
      </w:pPr>
      <w:r>
        <w:t xml:space="preserve">[AI Governance] Establish continuous AI audit and human oversight framework</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