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Services detected: 20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20 detected service(s) that fall under 3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EU AI Act  |  Up to EUR 35M or 7% of annual global turnover  |  EUR 100K - EUR 35M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ListParagraph"/>
        <w:numPr>
          <w:ilvl w:val="0"/>
          <w:numId w:val="1"/>
        </w:numPr>
      </w:pPr>
      <w:r>
        <w:t xml:space="preserve">**AI liability:** The EU AI Act introduces strict liability for high-risk AI systems; non-compliance may void insurance coverage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20 service(s) detected in maybe, the following exposure areas have been identified:</w:t>
      </w:r>
    </w:p>
    <w:p>
      <w:pPr>
        <w:pStyle w:val="Heading3"/>
      </w:pPr>
      <w:r>
        <w:t>Authentication &amp; User Data (rails-sessions)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(plaid, 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AI Services (ruby-openai)</w:t>
      </w:r>
    </w:p>
    <w:p>
      <w:pPr>
        <w:pStyle w:val="ListParagraph"/>
        <w:numPr>
          <w:ilvl w:val="0"/>
          <w:numId w:val="1"/>
        </w:numPr>
      </w:pPr>
      <w:r>
        <w:t xml:space="preserve">EU AI Act non-compliance: up to EUR 35M or 7% annual turnover</w:t>
      </w:r>
    </w:p>
    <w:p>
      <w:pPr>
        <w:pStyle w:val="ListParagraph"/>
        <w:numPr>
          <w:ilvl w:val="0"/>
          <w:numId w:val="1"/>
        </w:numPr>
      </w:pPr>
      <w:r>
        <w:t xml:space="preserve">Missing AI transparency obligations: EUR 100K - EUR 15M</w:t>
      </w:r>
    </w:p>
    <w:p>
      <w:pPr>
        <w:pStyle w:val="ListParagraph"/>
        <w:numPr>
          <w:ilvl w:val="0"/>
          <w:numId w:val="1"/>
        </w:numPr>
      </w:pPr>
      <w:r>
        <w:t xml:space="preserve">Failure to conduct AI impact assessment: EUR 50K - EUR 10M</w:t>
      </w:r>
    </w:p>
    <w:p>
      <w:pPr>
        <w:pStyle w:val="ListParagraph"/>
        <w:numPr>
          <w:ilvl w:val="0"/>
          <w:numId w:val="1"/>
        </w:numPr>
      </w:pPr>
      <w:r>
        <w:t xml:space="preserve">Colorado AI Act violations: private right of action</w:t>
      </w:r>
    </w:p>
    <w:p>
      <w:pPr>
        <w:pStyle w:val="Heading3"/>
      </w:pPr>
      <w:r>
        <w:t>Email Services (ActionMailer, nodemailer,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(Active Storage, ActiveRecord, ActiveStorage, aws-sdk-s3, pg, rails-activerecord, redis)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20 detected services (large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**$100,000 - $500,000**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$5,000,000 - $50,000,000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**$5,000,000 - $50,000,000**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($5,000,000 - $300,000) / $300,000 = 1,567%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Draft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Enterprise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80+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EU AI Act,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20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