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intercom-ruby  |  Other  |  user profiles, email, name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plaid  |  Payment Processing  |  bank account data, transaction history, account balances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1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Address automated decision-making requirements (Art. 22)</w:t>
      </w:r>
    </w:p>
    <w:p>
      <w:pPr>
        <w:pStyle w:val="ListParagraph"/>
        <w:numPr>
          <w:ilvl w:val="0"/>
          <w:numId w:val="1"/>
        </w:numPr>
      </w:pPr>
      <w:r>
        <w:t xml:space="preserve">[ ] Comply with EU AI Act transparency obligations (Art. 50) — enforcement August 2, 2026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4.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5.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ind w:left="720"/>
      </w:pPr>
      <w:r>
        <w:rPr>
          <w:i/>
          <w:color w:val="666666"/>
        </w:rPr>
        <w:t xml:space="preserve">**Warning:** Your codebase appears to handle raw card data directly. This significantly increases your PCI scope.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D</w:t>
      </w:r>
    </w:p>
    <w:p>
      <w:pPr>
        <w:pStyle w:val="ListParagraph"/>
        <w:numPr>
          <w:ilvl w:val="0"/>
          <w:numId w:val="1"/>
        </w:numPr>
      </w:pPr>
      <w:r>
        <w:t xml:space="preserve">[ ] Never store full track data, CVV/CVC, or PIN data after authorization (Req. 3.3)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