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Timeline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maybe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Bdr>
          <w:bottom w:val="single" w:sz="6" w:space="1" w:color="999999"/>
        </w:pBdr>
      </w:pPr>
    </w:p>
    <w:p>
      <w:r>
        <w:t xml:space="preserve">This document outlines key compliance deadlines, ongoing obligations, and recommended action items based on the services detected in your codebase.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confirm applicable deadlines and obligations for your specific situation.</w:t>
      </w:r>
    </w:p>
    <w:p>
      <w:pPr>
        <w:pStyle w:val="Heading2"/>
      </w:pPr>
      <w:r>
        <w:t>1. Key Regulatory Deadlines</w:t>
      </w:r>
    </w:p>
    <w:p>
      <w:r>
        <w:rPr>
          <w:sz w:val="20"/>
        </w:rPr>
        <w:t xml:space="preserve">Date  |  Deadline  |  Regulation</w:t>
      </w:r>
    </w:p>
    <w:p>
      <w:r>
        <w:rPr>
          <w:sz w:val="20"/>
        </w:rPr>
        <w:t xml:space="preserve">Aug 2, 2026  |  EU AI Act — Full transparency obligations take effect  |  EU AI Act (Regulation 2024/1689), Article 50</w:t>
      </w:r>
    </w:p>
    <w:p>
      <w:r>
        <w:rPr>
          <w:sz w:val="20"/>
        </w:rPr>
        <w:t xml:space="preserve">Ongoing  |  GDPR — Continuous compliance obligations  |  General Data Protection Regulation (EU) 2016/679</w:t>
      </w:r>
    </w:p>
    <w:p>
      <w:r>
        <w:rPr>
          <w:sz w:val="20"/>
        </w:rPr>
        <w:t xml:space="preserve">Ongoing  |  PCI DSS — Annual self-assessment and ongoing compliance  |  Payment Card Industry Data Security Standard v4.0.1</w:t>
      </w:r>
    </w:p>
    <w:p>
      <w:pPr>
        <w:pStyle w:val="Heading2"/>
      </w:pPr>
      <w:r>
        <w:t>2. Project-Specific Obligations</w:t>
      </w:r>
    </w:p>
    <w:p>
      <w:r>
        <w:t xml:space="preserve">Based on the 20 service(s) detected in maybe, the following obligations apply:</w:t>
      </w:r>
    </w:p>
    <w:p>
      <w:pPr>
        <w:pStyle w:val="Heading3"/>
      </w:pPr>
      <w:r>
        <w:t>AI Services (ruby-openai)</w:t>
      </w:r>
    </w:p>
    <w:p>
      <w:pPr>
        <w:pStyle w:val="ListParagraph"/>
        <w:numPr>
          <w:ilvl w:val="0"/>
          <w:numId w:val="1"/>
        </w:numPr>
      </w:pPr>
      <w:r>
        <w:t xml:space="preserve">**Aug 2, 2026** — AI Disclosure must be in place per EU AI Act Article 50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human oversight documentation</w:t>
      </w:r>
    </w:p>
    <w:p>
      <w:pPr>
        <w:pStyle w:val="ListParagraph"/>
        <w:numPr>
          <w:ilvl w:val="0"/>
          <w:numId w:val="1"/>
        </w:numPr>
      </w:pPr>
      <w:r>
        <w:t xml:space="preserve">**Ongoing** — Mark AI-generated content in machine-readable format</w:t>
      </w:r>
    </w:p>
    <w:p>
      <w:pPr>
        <w:pStyle w:val="ListParagraph"/>
        <w:numPr>
          <w:ilvl w:val="0"/>
          <w:numId w:val="1"/>
        </w:numPr>
      </w:pPr>
      <w:r>
        <w:t xml:space="preserve">**Ongoing** — Log AI system inputs/outputs for transparency audits</w:t>
      </w:r>
    </w:p>
    <w:p>
      <w:pPr>
        <w:pStyle w:val="Heading3"/>
      </w:pPr>
      <w:r>
        <w:t>Payment Services (plaid, stripe)</w:t>
      </w:r>
    </w:p>
    <w:p>
      <w:pPr>
        <w:pStyle w:val="ListParagraph"/>
        <w:numPr>
          <w:ilvl w:val="0"/>
          <w:numId w:val="1"/>
        </w:numPr>
      </w:pPr>
      <w:r>
        <w:t xml:space="preserve">**Ongoing** — PCI DSS annual self-assessment required</w:t>
      </w:r>
    </w:p>
    <w:p>
      <w:pPr>
        <w:pStyle w:val="ListParagraph"/>
        <w:numPr>
          <w:ilvl w:val="0"/>
          <w:numId w:val="1"/>
        </w:numPr>
      </w:pPr>
      <w:r>
        <w:t xml:space="preserve">**Ongoing** — Quarterly vulnerability scans (ASV) if applicable</w:t>
      </w:r>
    </w:p>
    <w:p>
      <w:pPr>
        <w:pStyle w:val="ListParagraph"/>
        <w:numPr>
          <w:ilvl w:val="0"/>
          <w:numId w:val="1"/>
        </w:numPr>
      </w:pPr>
      <w:r>
        <w:t xml:space="preserve">**Ongoing** — Ensure no raw card data is stored post-authorization</w:t>
      </w:r>
    </w:p>
    <w:p>
      <w:pPr>
        <w:pStyle w:val="Heading3"/>
      </w:pPr>
      <w:r>
        <w:t>Authentication Services (rails-sessions)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data subject access request (DSAR) procedures</w:t>
      </w:r>
    </w:p>
    <w:p>
      <w:pPr>
        <w:pStyle w:val="ListParagraph"/>
        <w:numPr>
          <w:ilvl w:val="0"/>
          <w:numId w:val="1"/>
        </w:numPr>
      </w:pPr>
      <w:r>
        <w:t xml:space="preserve">**Ongoing** — Review session data retention periods</w:t>
      </w:r>
    </w:p>
    <w:p>
      <w:pPr>
        <w:pStyle w:val="ListParagraph"/>
        <w:numPr>
          <w:ilvl w:val="0"/>
          <w:numId w:val="1"/>
        </w:numPr>
      </w:pPr>
      <w:r>
        <w:t xml:space="preserve">**Ongoing** — Ensure authentication data processing agreements are current</w:t>
      </w:r>
    </w:p>
    <w:p>
      <w:pPr>
        <w:pStyle w:val="Heading3"/>
      </w:pPr>
      <w:r>
        <w:t>Email Services (ActionMailer, nodemailer, rails-actionmailer)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CAN-SPAM / GDPR consent records for marketing emails</w:t>
      </w:r>
    </w:p>
    <w:p>
      <w:pPr>
        <w:pStyle w:val="ListParagraph"/>
        <w:numPr>
          <w:ilvl w:val="0"/>
          <w:numId w:val="1"/>
        </w:numPr>
      </w:pPr>
      <w:r>
        <w:t xml:space="preserve">**Ongoing** — Provide working unsubscribe mechanisms</w:t>
      </w:r>
    </w:p>
    <w:p>
      <w:pPr>
        <w:pStyle w:val="ListParagraph"/>
        <w:numPr>
          <w:ilvl w:val="0"/>
          <w:numId w:val="1"/>
        </w:numPr>
      </w:pPr>
      <w:r>
        <w:t xml:space="preserve">**Ongoing** — Review email service DPAs annually</w:t>
      </w:r>
    </w:p>
    <w:p>
      <w:pPr>
        <w:pStyle w:val="Heading3"/>
      </w:pPr>
      <w:r>
        <w:t>Storage / Database Services (Active Storage, ActiveRecord, ActiveStorage, aws-sdk-s3, pg, rails-activerecord, redis)</w:t>
      </w:r>
    </w:p>
    <w:p>
      <w:pPr>
        <w:pStyle w:val="ListParagraph"/>
        <w:numPr>
          <w:ilvl w:val="0"/>
          <w:numId w:val="1"/>
        </w:numPr>
      </w:pPr>
      <w:r>
        <w:t xml:space="preserve">**Ongoing** — Enforce data retention schedules</w:t>
      </w:r>
    </w:p>
    <w:p>
      <w:pPr>
        <w:pStyle w:val="ListParagraph"/>
        <w:numPr>
          <w:ilvl w:val="0"/>
          <w:numId w:val="1"/>
        </w:numPr>
      </w:pPr>
      <w:r>
        <w:t xml:space="preserve">**Ongoing** — Ensure encryption at rest for personal data</w:t>
      </w:r>
    </w:p>
    <w:p>
      <w:pPr>
        <w:pStyle w:val="ListParagraph"/>
        <w:numPr>
          <w:ilvl w:val="0"/>
          <w:numId w:val="1"/>
        </w:numPr>
      </w:pPr>
      <w:r>
        <w:t xml:space="preserve">**Ongoing** — Verify backup and disaster recovery procedures</w:t>
      </w:r>
    </w:p>
    <w:p>
      <w:pPr>
        <w:pStyle w:val="Heading2"/>
      </w:pPr>
      <w:r>
        <w:t>3. Action Items</w:t>
      </w:r>
    </w:p>
    <w:p>
      <w:pPr>
        <w:pStyle w:val="Heading3"/>
      </w:pPr>
      <w:r>
        <w:t>Immediate (verify now)</w:t>
      </w:r>
    </w:p>
    <w:p>
      <w:pPr>
        <w:pStyle w:val="ListParagraph"/>
        <w:numPr>
          <w:ilvl w:val="0"/>
          <w:numId w:val="1"/>
        </w:numPr>
      </w:pPr>
      <w:r>
        <w:t xml:space="preserve">[ ] Verify GDPR privacy notice is published and accurate</w:t>
      </w:r>
    </w:p>
    <w:p>
      <w:pPr>
        <w:pStyle w:val="ListParagraph"/>
        <w:numPr>
          <w:ilvl w:val="0"/>
          <w:numId w:val="1"/>
        </w:numPr>
      </w:pPr>
      <w:r>
        <w:t xml:space="preserve">[ ] Confirm Record of Processing Activities is up to date</w:t>
      </w:r>
    </w:p>
    <w:p>
      <w:pPr>
        <w:pStyle w:val="ListParagraph"/>
        <w:numPr>
          <w:ilvl w:val="0"/>
          <w:numId w:val="1"/>
        </w:numPr>
      </w:pPr>
      <w:r>
        <w:t xml:space="preserve">[ ] Verify PCI DSS Self-Assessment Questionnaire is current</w:t>
      </w:r>
    </w:p>
    <w:p>
      <w:pPr>
        <w:pStyle w:val="Heading3"/>
      </w:pPr>
      <w:r>
        <w:t>Upcoming Deadlines</w:t>
      </w:r>
    </w:p>
    <w:p>
      <w:pPr>
        <w:pStyle w:val="ListParagraph"/>
        <w:numPr>
          <w:ilvl w:val="0"/>
          <w:numId w:val="1"/>
        </w:numPr>
      </w:pPr>
      <w:r>
        <w:t xml:space="preserve">[ ] **By Aug 2, 2026** — Finalize and publish AI Disclosure document</w:t>
      </w:r>
    </w:p>
    <w:p>
      <w:pPr>
        <w:pStyle w:val="ListParagraph"/>
        <w:numPr>
          <w:ilvl w:val="0"/>
          <w:numId w:val="1"/>
        </w:numPr>
      </w:pPr>
      <w:r>
        <w:t xml:space="preserve">[ ] **By Aug 2, 2026** — Complete AI system risk classification</w:t>
      </w:r>
    </w:p>
    <w:p>
      <w:pPr>
        <w:pStyle w:val="ListParagraph"/>
        <w:numPr>
          <w:ilvl w:val="0"/>
          <w:numId w:val="1"/>
        </w:numPr>
      </w:pPr>
      <w:r>
        <w:t xml:space="preserve">[ ] **By Aug 2, 2026** — Implement AI-generated content marking</w:t>
      </w:r>
    </w:p>
    <w:p>
      <w:pPr>
        <w:pStyle w:val="Heading3"/>
      </w:pPr>
      <w:r>
        <w:t>Ongoing</w:t>
      </w:r>
    </w:p>
    <w:p>
      <w:pPr>
        <w:pStyle w:val="ListParagraph"/>
        <w:numPr>
          <w:ilvl w:val="0"/>
          <w:numId w:val="1"/>
        </w:numPr>
      </w:pPr>
      <w:r>
        <w:t xml:space="preserve">[ ] Re-run Codepliant after adding or removing services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compliance documents at least annually</w:t>
      </w:r>
    </w:p>
    <w:p>
      <w:pPr>
        <w:pStyle w:val="ListParagraph"/>
        <w:numPr>
          <w:ilvl w:val="0"/>
          <w:numId w:val="1"/>
        </w:numPr>
      </w:pPr>
      <w:r>
        <w:t xml:space="preserve">[ ] Respond to data subject requests within 30 days (GDPR Art. 12)</w:t>
      </w:r>
    </w:p>
    <w:p>
      <w:pPr>
        <w:pStyle w:val="ListParagraph"/>
        <w:numPr>
          <w:ilvl w:val="0"/>
          <w:numId w:val="1"/>
        </w:numPr>
      </w:pPr>
      <w:r>
        <w:t xml:space="preserve">[ ] Maintain PCI DSS compliance and complete annual assessment</w:t>
      </w:r>
    </w:p>
    <w:p>
      <w:pPr>
        <w:pStyle w:val="Heading2"/>
      </w:pPr>
      <w:r>
        <w:t>4. Recommended Review Schedule</w:t>
      </w:r>
    </w:p>
    <w:p>
      <w:r>
        <w:rPr>
          <w:sz w:val="20"/>
        </w:rPr>
        <w:t xml:space="preserve">Frequency  |  Activity</w:t>
      </w:r>
    </w:p>
    <w:p>
      <w:r>
        <w:rPr>
          <w:sz w:val="20"/>
        </w:rPr>
        <w:t xml:space="preserve">Monthly  |  Review data breach and incident logs</w:t>
      </w:r>
    </w:p>
    <w:p>
      <w:r>
        <w:rPr>
          <w:sz w:val="20"/>
        </w:rPr>
        <w:t xml:space="preserve">Monthly  |  Verify consent mechanisms are operational</w:t>
      </w:r>
    </w:p>
    <w:p>
      <w:r>
        <w:rPr>
          <w:sz w:val="20"/>
        </w:rPr>
        <w:t xml:space="preserve">Quarterly  |  Re-run Codepliant to detect new services or dependencies</w:t>
      </w:r>
    </w:p>
    <w:p>
      <w:r>
        <w:rPr>
          <w:sz w:val="20"/>
        </w:rPr>
        <w:t xml:space="preserve">Quarterly  |  Review and update data processing agreements</w:t>
      </w:r>
    </w:p>
    <w:p>
      <w:r>
        <w:rPr>
          <w:sz w:val="20"/>
        </w:rPr>
        <w:t xml:space="preserve">Semi-annually  |  Conduct internal compliance audit</w:t>
      </w:r>
    </w:p>
    <w:p>
      <w:r>
        <w:rPr>
          <w:sz w:val="20"/>
        </w:rPr>
        <w:t xml:space="preserve">Annually  |  Full privacy policy review and update</w:t>
      </w:r>
    </w:p>
    <w:p>
      <w:r>
        <w:rPr>
          <w:sz w:val="20"/>
        </w:rPr>
        <w:t xml:space="preserve">Annually  |  Staff data protection training refresh</w:t>
      </w:r>
    </w:p>
    <w:p>
      <w:r>
        <w:rPr>
          <w:sz w:val="20"/>
        </w:rPr>
        <w:t xml:space="preserve">Annually  |  Review regulatory landscape for new obligations</w:t>
      </w:r>
    </w:p>
    <w:p>
      <w:r>
        <w:rPr>
          <w:sz w:val="20"/>
        </w:rPr>
        <w:t xml:space="preserve">Annually  |  PCI DSS Self-Assessment Questionnaire</w:t>
      </w:r>
    </w:p>
    <w:p>
      <w:r>
        <w:rPr>
          <w:sz w:val="20"/>
        </w:rPr>
        <w:t xml:space="preserve">Annually  |  AI system risk re-assessment</w:t>
      </w:r>
    </w:p>
    <w:p>
      <w:r>
        <w:rPr>
          <w:sz w:val="20"/>
        </w:rPr>
        <w:t xml:space="preserve">Annually  |  AI Disclosure document review and update</w:t>
      </w:r>
    </w:p>
    <w:p>
      <w:pPr>
        <w:ind w:left="720"/>
      </w:pPr>
      <w:r>
        <w:rPr>
          <w:i/>
          <w:color w:val="666666"/>
        </w:rPr>
        <w:t xml:space="preserve">**Tip:** Set calendar reminders for each review activity. Compliance drift is the most common cause of regulatory exposure.</w:t>
      </w:r>
    </w:p>
    <w:p>
      <w:pPr>
        <w:pBdr>
          <w:bottom w:val="single" w:sz="6" w:space="1" w:color="999999"/>
        </w:pBdr>
      </w:pPr>
    </w:p>
    <w:p>
      <w:r>
        <w:t xml:space="preserve">This compliance timeline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