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maybe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🟢  |  **CCPA**  |  Low Exposure  |  No California jurisdiction and no advertising/analytics tracking detected.</w:t>
      </w:r>
    </w:p>
    <w:p>
      <w:r>
        <w:rPr>
          <w:sz w:val="20"/>
        </w:rPr>
        <w:t xml:space="preserve">🟡  |  **EU AI Act**  |  Transparency Required  |  1 AI service(s) detected. Transparency obligations apply under Art. 52.</w:t>
      </w:r>
    </w:p>
    <w:p>
      <w:r>
        <w:rPr>
          <w:sz w:val="20"/>
        </w:rPr>
        <w:t xml:space="preserve">🟡  |  **PCI DSS**  |  Compliance Required  |  2 payment service(s) detected (plaid, 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20</w:t>
      </w:r>
    </w:p>
    <w:p>
      <w:r>
        <w:rPr>
          <w:sz w:val="20"/>
        </w:rPr>
        <w:t xml:space="preserve">Data Categories Collected  |  7</w:t>
      </w:r>
    </w:p>
    <w:p>
      <w:r>
        <w:rPr>
          <w:sz w:val="20"/>
        </w:rPr>
        <w:t xml:space="preserve">Regulations: Action Required  |  3</w:t>
      </w:r>
    </w:p>
    <w:p>
      <w:r>
        <w:rPr>
          <w:sz w:val="20"/>
        </w:rPr>
        <w:t xml:space="preserve">Regulations: Compliant  |  2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20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**Third-Party Vendor Concentration Risk**  |  $500K-$5M average cost of vendor-related breach  |  20 vendors create supply chain risk. One vendor breach can cascade.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3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