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maybe.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ActionCable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ActionController::Cookies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ActionMailer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Active 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ActiveRecord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ActiveStorage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aws-sdk-s3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intercom-ruby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pg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Plaid  |  payment  |  High  |  4-8 weeks  |  Yodlee, MX, Finicity</w:t>
      </w:r>
    </w:p>
    <w:p>
      <w:r>
        <w:rPr>
          <w:sz w:val="20"/>
        </w:rPr>
        <w:t xml:space="preserve">rack-attack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rails-actionmailer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rails-activerecord  |  database  |  Medium  |  [Estimate based on integration depth and data volume]  |  [Research alternatives based on your requirements]</w:t>
      </w:r>
    </w:p>
    <w:p>
      <w:r>
        <w:rPr>
          <w:sz w:val="20"/>
        </w:rPr>
        <w:t xml:space="preserve">rails-sessions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ruby-openai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sentry-ruby  |  monitoring  |  Medium  |  [Estimate based on integration depth and data volume]  |  [Research alternatives based on your requirements]</w:t>
      </w:r>
    </w:p>
    <w:p>
      <w:r>
        <w:rPr>
          <w:sz w:val="20"/>
        </w:rPr>
        <w:t xml:space="preserve">sidekiq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Stripe  |  payment  |  High  |  4-8 weeks  |  PayPal/Braintree, Adyen, Square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ActionCable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ActionCable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ActionCable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ActionCable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ActionController::Cookies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ActionController::Cookies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ActionMailer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ActionMailer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ActionMailer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ActionMailer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 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 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 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 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ActiveRecord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ActiveRecord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ActiveRecord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ActiveRecord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ActiveStorage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ActiveStorage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ActiveStorage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ActiveStorage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aws-sdk-s3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aws-sdk-s3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aws-sdk-s3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aws-sdk-s3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intercom-ruby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intercom-ruby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intercom-ruby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intercom-ruby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pg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Plaid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API: retrieve linked account data; Contact support for bulk export</w:t>
      </w:r>
    </w:p>
    <w:p>
      <w:pPr>
        <w:pStyle w:val="Heading4"/>
      </w:pPr>
      <w:r>
        <w:t>Data Portability</w:t>
      </w:r>
    </w:p>
    <w:p>
      <w:r>
        <w:t xml:space="preserve">Account connection data accessible via API; users must re-link with new provider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Yodlee</w:t>
      </w:r>
    </w:p>
    <w:p>
      <w:pPr>
        <w:pStyle w:val="ListParagraph"/>
        <w:numPr>
          <w:ilvl w:val="0"/>
          <w:numId w:val="1"/>
        </w:numPr>
      </w:pPr>
      <w:r>
        <w:t xml:space="preserve">MX</w:t>
      </w:r>
    </w:p>
    <w:p>
      <w:pPr>
        <w:pStyle w:val="ListParagraph"/>
        <w:numPr>
          <w:ilvl w:val="0"/>
          <w:numId w:val="1"/>
        </w:numPr>
      </w:pPr>
      <w:r>
        <w:t xml:space="preserve">Finicity</w:t>
      </w:r>
    </w:p>
    <w:p>
      <w:pPr>
        <w:pStyle w:val="ListParagraph"/>
        <w:numPr>
          <w:ilvl w:val="0"/>
          <w:numId w:val="1"/>
        </w:numPr>
      </w:pPr>
      <w:r>
        <w:t xml:space="preserve">Tink (EU)</w:t>
      </w:r>
    </w:p>
    <w:p>
      <w:pPr>
        <w:pStyle w:val="Heading4"/>
      </w:pPr>
      <w:r>
        <w:t>Contract Termination</w:t>
      </w:r>
    </w:p>
    <w:p>
      <w:r>
        <w:t xml:space="preserve">Contact account team; enterprise agreements may have termination clauses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Users must re-authenticate bank connections</w:t>
      </w:r>
    </w:p>
    <w:p>
      <w:pPr>
        <w:pStyle w:val="ListParagraph"/>
        <w:numPr>
          <w:ilvl w:val="0"/>
          <w:numId w:val="1"/>
        </w:numPr>
      </w:pPr>
      <w:r>
        <w:t xml:space="preserve">Coverage differences between providers</w:t>
      </w:r>
    </w:p>
    <w:p>
      <w:pPr>
        <w:pStyle w:val="ListParagraph"/>
        <w:numPr>
          <w:ilvl w:val="0"/>
          <w:numId w:val="1"/>
        </w:numPr>
      </w:pPr>
      <w:r>
        <w:t xml:space="preserve">Regulatory compliance variations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Plaid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Plaid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Plaid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rack-attack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rack-attack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rack-attack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rack-attack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rails-actionmailer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rails-actionmailer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rails-actionmailer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rails-actionmailer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rails-activerecord</w:t>
      </w:r>
    </w:p>
    <w:p>
      <w:r>
        <w:t xml:space="preserve">Category: database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rails-activerecord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rails-activerecord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rails-activerecord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rails-sessions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rails-sessions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rails-sessions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rails-sessions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ruby-openai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ruby-openai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ruby-openai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ruby-openai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sentry-ruby</w:t>
      </w:r>
    </w:p>
    <w:p>
      <w:r>
        <w:t xml:space="preserve">Category: monitoring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sentry-ruby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sentry-ruby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sentry-ruby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sidekiq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sidekiq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sidekiq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sidekiq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