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Regulatory Readiness Scorecard — [Your Company Name]</w:t>
      </w:r>
    </w:p>
    <w:p>
      <w:pPr>
        <w:ind w:left="720"/>
      </w:pPr>
      <w:r>
        <w:rPr>
          <w:i/>
          <w:color w:val="666666"/>
        </w:rPr>
        <w:t xml:space="preserve">Auto-generated by Codepliant on 2026-03-16.</w:t>
      </w:r>
    </w:p>
    <w:p>
      <w:pPr>
        <w:ind w:left="720"/>
      </w:pPr>
      <w:r>
        <w:rPr>
          <w:i/>
          <w:color w:val="666666"/>
        </w:rPr>
        <w:t xml:space="preserve">Per-regulation readiness scores with visual progress indicators.</w:t>
      </w:r>
    </w:p>
    <w:p>
      <w:pPr>
        <w:ind w:left="720"/>
      </w:pPr>
      <w:r>
        <w:rPr>
          <w:i/>
          <w:color w:val="666666"/>
        </w:rPr>
        <w:t xml:space="preserve">This scorecard should be reviewed by qualified legal and compliance professionals.</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Overall Readiness</w:t>
      </w:r>
    </w:p>
    <w:p>
      <w:r>
        <w:t xml:space="preserve">Overall Score: 38% ████░░░░░░</w:t>
      </w:r>
    </w:p>
    <w:p>
      <w:r>
        <w:rPr>
          <w:sz w:val="20"/>
        </w:rPr>
        <w:t xml:space="preserve">Regulation  |  Score  |  Progress</w:t>
      </w:r>
    </w:p>
    <w:p>
      <w:r>
        <w:rPr>
          <w:sz w:val="20"/>
        </w:rPr>
        <w:t xml:space="preserve">GDPR  |  **23%**  |  ██░░░░░░░░</w:t>
      </w:r>
    </w:p>
    <w:p>
      <w:r>
        <w:rPr>
          <w:sz w:val="20"/>
        </w:rPr>
        <w:t xml:space="preserve">EU AI Act  |  **35%**  |  ████░░░░░░</w:t>
      </w:r>
    </w:p>
    <w:p>
      <w:r>
        <w:rPr>
          <w:sz w:val="20"/>
        </w:rPr>
        <w:t xml:space="preserve">PCI DSS  |  **25%**  |  ███░░░░░░░</w:t>
      </w:r>
    </w:p>
    <w:p>
      <w:r>
        <w:rPr>
          <w:sz w:val="20"/>
        </w:rPr>
        <w:t xml:space="preserve">SOC 2  |  **70%**  |  ███████░░░</w:t>
      </w:r>
    </w:p>
    <w:p>
      <w:pPr>
        <w:pStyle w:val="Heading2"/>
      </w:pPr>
      <w:r>
        <w:t>Per-Regulation Assessment</w:t>
      </w:r>
    </w:p>
    <w:p>
      <w:pPr>
        <w:pStyle w:val="Heading3"/>
      </w:pPr>
      <w:r>
        <w:t>GDPR — 23% ██░░░░░░░░</w:t>
      </w:r>
    </w:p>
    <w:p>
      <w:r>
        <w:t xml:space="preserve">EU General Data Protection Regulation</w:t>
      </w:r>
    </w:p>
    <w:p>
      <w:r>
        <w:rPr>
          <w:sz w:val="20"/>
        </w:rPr>
        <w:t xml:space="preserve">Requirement  |  Status  |  Weight</w:t>
      </w:r>
    </w:p>
    <w:p>
      <w:r>
        <w:rPr>
          <w:sz w:val="20"/>
        </w:rPr>
        <w:t xml:space="preserve">Privacy Notice (Art. 13/14)  |  + Ready  |  15%</w:t>
      </w:r>
    </w:p>
    <w:p>
      <w:r>
        <w:rPr>
          <w:sz w:val="20"/>
        </w:rPr>
        <w:t xml:space="preserve">Record of Processing Activities (Art. 30)  |  + Ready  |  10%</w:t>
      </w:r>
    </w:p>
    <w:p>
      <w:r>
        <w:rPr>
          <w:sz w:val="20"/>
        </w:rPr>
        <w:t xml:space="preserve">Data Protection Impact Assessment (Art. 35)  |  - Action Needed  |  15%</w:t>
      </w:r>
    </w:p>
    <w:p>
      <w:r>
        <w:rPr>
          <w:sz w:val="20"/>
        </w:rPr>
        <w:t xml:space="preserve">Data Protection Officer (Art. 37)  |  - Action Needed  |  10%</w:t>
      </w:r>
    </w:p>
    <w:p>
      <w:r>
        <w:rPr>
          <w:sz w:val="20"/>
        </w:rPr>
        <w:t xml:space="preserve">Consent Management (Art. 6/7)  |  - Action Needed  |  15%</w:t>
      </w:r>
    </w:p>
    <w:p>
      <w:r>
        <w:rPr>
          <w:sz w:val="20"/>
        </w:rPr>
        <w:t xml:space="preserve">Processor Agreements (Art. 28)  |  - Action Needed  |  10%</w:t>
      </w:r>
    </w:p>
    <w:p>
      <w:r>
        <w:rPr>
          <w:sz w:val="20"/>
        </w:rPr>
        <w:t xml:space="preserve">Breach Notification Procedure (Art. 33/34)  |  - Action Needed  |  10%</w:t>
      </w:r>
    </w:p>
    <w:p>
      <w:r>
        <w:rPr>
          <w:sz w:val="20"/>
        </w:rPr>
        <w:t xml:space="preserve">Right to Erasure (Art. 17)  |  - Action Needed  |  10%</w:t>
      </w:r>
    </w:p>
    <w:p>
      <w:r>
        <w:rPr>
          <w:sz w:val="20"/>
        </w:rPr>
        <w:t xml:space="preserve">Privacy by Design (Art. 25)  |  - Action Needed  |  10%</w:t>
      </w:r>
    </w:p>
    <w:p>
      <w:r>
        <w:rPr>
          <w:sz w:val="20"/>
        </w:rPr>
        <w:t xml:space="preserve">Jurisdictional Scope Defined  |  - Action Needed  |  5%</w:t>
      </w:r>
    </w:p>
    <w:p>
      <w:r>
        <w:t xml:space="preserve">Action items to reach 100%:</w:t>
      </w:r>
    </w:p>
    <w:p>
      <w:pPr>
        <w:pStyle w:val="ListParagraph"/>
        <w:numPr>
          <w:ilvl w:val="0"/>
          <w:numId w:val="1"/>
        </w:numPr>
      </w:pPr>
      <w:r>
        <w:t xml:space="preserve">[ ] **Data Protection Impact Assessment (Art. 35)** (15%): Conduct formal DPIA for high-risk processing activities</w:t>
      </w:r>
    </w:p>
    <w:p>
      <w:pPr>
        <w:pStyle w:val="ListParagraph"/>
        <w:numPr>
          <w:ilvl w:val="0"/>
          <w:numId w:val="1"/>
        </w:numPr>
      </w:pPr>
      <w:r>
        <w:t xml:space="preserve">[ ] **Data Protection Officer (Art. 37)** (10%): Appoint a DPO or document exemption rationale in config</w:t>
      </w:r>
    </w:p>
    <w:p>
      <w:pPr>
        <w:pStyle w:val="ListParagraph"/>
        <w:numPr>
          <w:ilvl w:val="0"/>
          <w:numId w:val="1"/>
        </w:numPr>
      </w:pPr>
      <w:r>
        <w:t xml:space="preserve">[ ] **Consent Management (Art. 6/7)** (15%): Deploy a Consent Management Platform; block trackers until consent is obtained</w:t>
      </w:r>
    </w:p>
    <w:p>
      <w:pPr>
        <w:pStyle w:val="ListParagraph"/>
        <w:numPr>
          <w:ilvl w:val="0"/>
          <w:numId w:val="1"/>
        </w:numPr>
      </w:pPr>
      <w:r>
        <w:t xml:space="preserve">[ ] **Processor Agreements (Art. 28)** (10%): Obtain signed DPAs from all 11 detected sub-processors</w:t>
      </w:r>
    </w:p>
    <w:p>
      <w:pPr>
        <w:pStyle w:val="ListParagraph"/>
        <w:numPr>
          <w:ilvl w:val="0"/>
          <w:numId w:val="1"/>
        </w:numPr>
      </w:pPr>
      <w:r>
        <w:t xml:space="preserve">[ ] **Breach Notification Procedure (Art. 33/34)** (10%): Establish 72-hour breach notification procedure and conduct tabletop exercise</w:t>
      </w:r>
    </w:p>
    <w:p>
      <w:pPr>
        <w:pStyle w:val="ListParagraph"/>
        <w:numPr>
          <w:ilvl w:val="0"/>
          <w:numId w:val="1"/>
        </w:numPr>
      </w:pPr>
      <w:r>
        <w:t xml:space="preserve">[ ] **Right to Erasure (Art. 17)** (10%): Implement automated data deletion workflows across all services</w:t>
      </w:r>
    </w:p>
    <w:p>
      <w:pPr>
        <w:pStyle w:val="ListParagraph"/>
        <w:numPr>
          <w:ilvl w:val="0"/>
          <w:numId w:val="1"/>
        </w:numPr>
      </w:pPr>
      <w:r>
        <w:t xml:space="preserve">[ ] **Privacy by Design (Art. 25)** (10%): Document privacy-by-design practices in development workflow</w:t>
      </w:r>
    </w:p>
    <w:p>
      <w:pPr>
        <w:pStyle w:val="ListParagraph"/>
        <w:numPr>
          <w:ilvl w:val="0"/>
          <w:numId w:val="1"/>
        </w:numPr>
      </w:pPr>
      <w:r>
        <w:t xml:space="preserve">[ ] **Jurisdictional Scope Defined** (5%): Define applicable jurisdictions in .codepliantrc.json</w:t>
      </w:r>
    </w:p>
    <w:p>
      <w:pPr>
        <w:pStyle w:val="Heading3"/>
      </w:pPr>
      <w:r>
        <w:t>EU AI Act — 35% ████░░░░░░</w:t>
      </w:r>
    </w:p>
    <w:p>
      <w:r>
        <w:t xml:space="preserve">European Union Artificial Intelligence Act</w:t>
      </w:r>
    </w:p>
    <w:p>
      <w:r>
        <w:rPr>
          <w:sz w:val="20"/>
        </w:rPr>
        <w:t xml:space="preserve">Requirement  |  Status  |  Weight</w:t>
      </w:r>
    </w:p>
    <w:p>
      <w:r>
        <w:rPr>
          <w:sz w:val="20"/>
        </w:rPr>
        <w:t xml:space="preserve">AI System Transparency (Art. 50)  |  + Ready  |  20%</w:t>
      </w:r>
    </w:p>
    <w:p>
      <w:r>
        <w:rPr>
          <w:sz w:val="20"/>
        </w:rPr>
        <w:t xml:space="preserve">AI Risk Classification  |  - Action Needed  |  20%</w:t>
      </w:r>
    </w:p>
    <w:p>
      <w:r>
        <w:rPr>
          <w:sz w:val="20"/>
        </w:rPr>
        <w:t xml:space="preserve">Human Oversight (Art. 14)  |  - Action Needed  |  20%</w:t>
      </w:r>
    </w:p>
    <w:p>
      <w:r>
        <w:rPr>
          <w:sz w:val="20"/>
        </w:rPr>
        <w:t xml:space="preserve">AI Model Documentation  |  + Ready  |  15%</w:t>
      </w:r>
    </w:p>
    <w:p>
      <w:r>
        <w:rPr>
          <w:sz w:val="20"/>
        </w:rPr>
        <w:t xml:space="preserve">AI Governance Framework  |  - Action Needed  |  15%</w:t>
      </w:r>
    </w:p>
    <w:p>
      <w:r>
        <w:rPr>
          <w:sz w:val="20"/>
        </w:rPr>
        <w:t xml:space="preserve">Bias Monitoring &amp; Testing  |  - Action Needed  |  10%</w:t>
      </w:r>
    </w:p>
    <w:p>
      <w:r>
        <w:t xml:space="preserve">Action items to reach 100%:</w:t>
      </w:r>
    </w:p>
    <w:p>
      <w:pPr>
        <w:pStyle w:val="ListParagraph"/>
        <w:numPr>
          <w:ilvl w:val="0"/>
          <w:numId w:val="1"/>
        </w:numPr>
      </w:pPr>
      <w:r>
        <w:t xml:space="preserve">[ ] **AI Risk Classification** (20%): Classify AI systems by risk level in .codepliantrc.json (aiRiskLevel)</w:t>
      </w:r>
    </w:p>
    <w:p>
      <w:pPr>
        <w:pStyle w:val="ListParagraph"/>
        <w:numPr>
          <w:ilvl w:val="0"/>
          <w:numId w:val="1"/>
        </w:numPr>
      </w:pPr>
      <w:r>
        <w:t xml:space="preserve">[ ] **Human Oversight (Art. 14)** (20%): Implement human review workflow for AI decisions; document override procedures</w:t>
      </w:r>
    </w:p>
    <w:p>
      <w:pPr>
        <w:pStyle w:val="ListParagraph"/>
        <w:numPr>
          <w:ilvl w:val="0"/>
          <w:numId w:val="1"/>
        </w:numPr>
      </w:pPr>
      <w:r>
        <w:t xml:space="preserve">[ ] **AI Governance Framework** (15%): Document AI usage purpose and establish governance committee</w:t>
      </w:r>
    </w:p>
    <w:p>
      <w:pPr>
        <w:pStyle w:val="ListParagraph"/>
        <w:numPr>
          <w:ilvl w:val="0"/>
          <w:numId w:val="1"/>
        </w:numPr>
      </w:pPr>
      <w:r>
        <w:t xml:space="preserve">[ ] **Bias Monitoring &amp; Testing** (10%): Implement bias testing and fairness metrics for AI outputs</w:t>
      </w:r>
    </w:p>
    <w:p>
      <w:pPr>
        <w:pStyle w:val="Heading3"/>
      </w:pPr>
      <w:r>
        <w:t>PCI DSS — 25% ███░░░░░░░</w:t>
      </w:r>
    </w:p>
    <w:p>
      <w:r>
        <w:t xml:space="preserve">Payment Card Industry Data Security Standard</w:t>
      </w:r>
    </w:p>
    <w:p>
      <w:r>
        <w:rPr>
          <w:sz w:val="20"/>
        </w:rPr>
        <w:t xml:space="preserve">Requirement  |  Status  |  Weight</w:t>
      </w:r>
    </w:p>
    <w:p>
      <w:r>
        <w:rPr>
          <w:sz w:val="20"/>
        </w:rPr>
        <w:t xml:space="preserve">Tokenization / No Raw Card Storage  |  + Ready  |  25%</w:t>
      </w:r>
    </w:p>
    <w:p>
      <w:r>
        <w:rPr>
          <w:sz w:val="20"/>
        </w:rPr>
        <w:t xml:space="preserve">PCI DSS Self-Assessment Questionnaire  |  - Action Needed  |  25%</w:t>
      </w:r>
    </w:p>
    <w:p>
      <w:r>
        <w:rPr>
          <w:sz w:val="20"/>
        </w:rPr>
        <w:t xml:space="preserve">Network Security Controls  |  - Action Needed  |  20%</w:t>
      </w:r>
    </w:p>
    <w:p>
      <w:r>
        <w:rPr>
          <w:sz w:val="20"/>
        </w:rPr>
        <w:t xml:space="preserve">Vulnerability Management  |  - Action Needed  |  15%</w:t>
      </w:r>
    </w:p>
    <w:p>
      <w:r>
        <w:rPr>
          <w:sz w:val="20"/>
        </w:rPr>
        <w:t xml:space="preserve">Access Control &amp; Monitoring  |  - Action Needed  |  15%</w:t>
      </w:r>
    </w:p>
    <w:p>
      <w:r>
        <w:t xml:space="preserve">Action items to reach 100%:</w:t>
      </w:r>
    </w:p>
    <w:p>
      <w:pPr>
        <w:pStyle w:val="ListParagraph"/>
        <w:numPr>
          <w:ilvl w:val="0"/>
          <w:numId w:val="1"/>
        </w:numPr>
      </w:pPr>
      <w:r>
        <w:t xml:space="preserve">[ ] **PCI DSS Self-Assessment Questionnaire** (25%): Complete the appropriate PCI DSS SAQ for your merchant level</w:t>
      </w:r>
    </w:p>
    <w:p>
      <w:pPr>
        <w:pStyle w:val="ListParagraph"/>
        <w:numPr>
          <w:ilvl w:val="0"/>
          <w:numId w:val="1"/>
        </w:numPr>
      </w:pPr>
      <w:r>
        <w:t xml:space="preserve">[ ] **Network Security Controls** (20%): Implement firewall rules, encryption in transit, and access controls</w:t>
      </w:r>
    </w:p>
    <w:p>
      <w:pPr>
        <w:pStyle w:val="ListParagraph"/>
        <w:numPr>
          <w:ilvl w:val="0"/>
          <w:numId w:val="1"/>
        </w:numPr>
      </w:pPr>
      <w:r>
        <w:t xml:space="preserve">[ ] **Vulnerability Management** (15%): Conduct quarterly vulnerability scans and annual penetration tests</w:t>
      </w:r>
    </w:p>
    <w:p>
      <w:pPr>
        <w:pStyle w:val="ListParagraph"/>
        <w:numPr>
          <w:ilvl w:val="0"/>
          <w:numId w:val="1"/>
        </w:numPr>
      </w:pPr>
      <w:r>
        <w:t xml:space="preserve">[ ] **Access Control &amp; Monitoring** (15%): Implement least-privilege access and audit logging for payment systems</w:t>
      </w:r>
    </w:p>
    <w:p>
      <w:pPr>
        <w:pStyle w:val="Heading3"/>
      </w:pPr>
      <w:r>
        <w:t>SOC 2 — 70% ███████░░░</w:t>
      </w:r>
    </w:p>
    <w:p>
      <w:r>
        <w:t xml:space="preserve">Service Organization Control Type 2</w:t>
      </w:r>
    </w:p>
    <w:p>
      <w:r>
        <w:rPr>
          <w:sz w:val="20"/>
        </w:rPr>
        <w:t xml:space="preserve">Requirement  |  Status  |  Weight</w:t>
      </w:r>
    </w:p>
    <w:p>
      <w:r>
        <w:rPr>
          <w:sz w:val="20"/>
        </w:rPr>
        <w:t xml:space="preserve">Security Policy Documentation  |  + Ready  |  20%</w:t>
      </w:r>
    </w:p>
    <w:p>
      <w:r>
        <w:rPr>
          <w:sz w:val="20"/>
        </w:rPr>
        <w:t xml:space="preserve">Access Control Policy  |  + Ready  |  20%</w:t>
      </w:r>
    </w:p>
    <w:p>
      <w:r>
        <w:rPr>
          <w:sz w:val="20"/>
        </w:rPr>
        <w:t xml:space="preserve">Change Management Process  |  - Action Needed  |  15%</w:t>
      </w:r>
    </w:p>
    <w:p>
      <w:r>
        <w:rPr>
          <w:sz w:val="20"/>
        </w:rPr>
        <w:t xml:space="preserve">Incident Response Plan  |  + Ready  |  15%</w:t>
      </w:r>
    </w:p>
    <w:p>
      <w:r>
        <w:rPr>
          <w:sz w:val="20"/>
        </w:rPr>
        <w:t xml:space="preserve">Vendor Risk Management  |  + Ready  |  15%</w:t>
      </w:r>
    </w:p>
    <w:p>
      <w:r>
        <w:rPr>
          <w:sz w:val="20"/>
        </w:rPr>
        <w:t xml:space="preserve">Evidence Collection &amp; Audit Trail  |  - Action Needed  |  15%</w:t>
      </w:r>
    </w:p>
    <w:p>
      <w:r>
        <w:t xml:space="preserve">Action items to reach 100%:</w:t>
      </w:r>
    </w:p>
    <w:p>
      <w:pPr>
        <w:pStyle w:val="ListParagraph"/>
        <w:numPr>
          <w:ilvl w:val="0"/>
          <w:numId w:val="1"/>
        </w:numPr>
      </w:pPr>
      <w:r>
        <w:t xml:space="preserve">[ ] **Change Management Process** (15%): Document change management procedures with approval workflows</w:t>
      </w:r>
    </w:p>
    <w:p>
      <w:pPr>
        <w:pStyle w:val="ListParagraph"/>
        <w:numPr>
          <w:ilvl w:val="0"/>
          <w:numId w:val="1"/>
        </w:numPr>
      </w:pPr>
      <w:r>
        <w:t xml:space="preserve">[ ] **Evidence Collection &amp; Audit Trail** (15%): Begin 6-month evidence collection period; automate evidence gathering</w:t>
      </w:r>
    </w:p>
    <w:p>
      <w:pPr>
        <w:pStyle w:val="Heading2"/>
      </w:pPr>
      <w:r>
        <w:t>Priority Action Plan</w:t>
      </w:r>
    </w:p>
    <w:p>
      <w:pPr>
        <w:pStyle w:val="Heading3"/>
      </w:pPr>
      <w:r>
        <w:t>High-Impact Actions (sorted by regulatory weight)</w:t>
      </w:r>
    </w:p>
    <w:p>
      <w:pPr>
        <w:pStyle w:val="ListParagraph"/>
        <w:numPr>
          <w:ilvl w:val="0"/>
          <w:numId w:val="2"/>
        </w:numPr>
      </w:pPr>
      <w:r>
        <w:t xml:space="preserve">**[PCI DSS] PCI DSS Self-Assessment Questionnaire** (25%): Complete the appropriate PCI DSS SAQ for your merchant level</w:t>
      </w:r>
    </w:p>
    <w:p>
      <w:pPr>
        <w:pStyle w:val="ListParagraph"/>
        <w:numPr>
          <w:ilvl w:val="0"/>
          <w:numId w:val="2"/>
        </w:numPr>
      </w:pPr>
      <w:r>
        <w:t xml:space="preserve">**[EU AI Act] AI Risk Classification** (20%): Classify AI systems by risk level in .codepliantrc.json (aiRiskLevel)</w:t>
      </w:r>
    </w:p>
    <w:p>
      <w:pPr>
        <w:pStyle w:val="ListParagraph"/>
        <w:numPr>
          <w:ilvl w:val="0"/>
          <w:numId w:val="2"/>
        </w:numPr>
      </w:pPr>
      <w:r>
        <w:t xml:space="preserve">**[EU AI Act] Human Oversight (Art. 14)** (20%): Implement human review workflow for AI decisions; document override procedures</w:t>
      </w:r>
    </w:p>
    <w:p>
      <w:pPr>
        <w:pStyle w:val="ListParagraph"/>
        <w:numPr>
          <w:ilvl w:val="0"/>
          <w:numId w:val="2"/>
        </w:numPr>
      </w:pPr>
      <w:r>
        <w:t xml:space="preserve">**[PCI DSS] Network Security Controls** (20%): Implement firewall rules, encryption in transit, and access controls</w:t>
      </w:r>
    </w:p>
    <w:p>
      <w:pPr>
        <w:pStyle w:val="ListParagraph"/>
        <w:numPr>
          <w:ilvl w:val="0"/>
          <w:numId w:val="2"/>
        </w:numPr>
      </w:pPr>
      <w:r>
        <w:t xml:space="preserve">**[GDPR] Data Protection Impact Assessment (Art. 35)** (15%): Conduct formal DPIA for high-risk processing activities</w:t>
      </w:r>
    </w:p>
    <w:p>
      <w:pPr>
        <w:pStyle w:val="ListParagraph"/>
        <w:numPr>
          <w:ilvl w:val="0"/>
          <w:numId w:val="2"/>
        </w:numPr>
      </w:pPr>
      <w:r>
        <w:t xml:space="preserve">**[GDPR] Consent Management (Art. 6/7)** (15%): Deploy a Consent Management Platform; block trackers until consent is obtained</w:t>
      </w:r>
    </w:p>
    <w:p>
      <w:pPr>
        <w:pStyle w:val="ListParagraph"/>
        <w:numPr>
          <w:ilvl w:val="0"/>
          <w:numId w:val="2"/>
        </w:numPr>
      </w:pPr>
      <w:r>
        <w:t xml:space="preserve">**[EU AI Act] AI Governance Framework** (15%): Document AI usage purpose and establish governance committee</w:t>
      </w:r>
    </w:p>
    <w:p>
      <w:pPr>
        <w:pStyle w:val="ListParagraph"/>
        <w:numPr>
          <w:ilvl w:val="0"/>
          <w:numId w:val="2"/>
        </w:numPr>
      </w:pPr>
      <w:r>
        <w:t xml:space="preserve">**[PCI DSS] Vulnerability Management** (15%): Conduct quarterly vulnerability scans and annual penetration tests</w:t>
      </w:r>
    </w:p>
    <w:p>
      <w:pPr>
        <w:pStyle w:val="ListParagraph"/>
        <w:numPr>
          <w:ilvl w:val="0"/>
          <w:numId w:val="2"/>
        </w:numPr>
      </w:pPr>
      <w:r>
        <w:t xml:space="preserve">**[PCI DSS] Access Control &amp; Monitoring** (15%): Implement least-privilege access and audit logging for payment systems</w:t>
      </w:r>
    </w:p>
    <w:p>
      <w:pPr>
        <w:pStyle w:val="ListParagraph"/>
        <w:numPr>
          <w:ilvl w:val="0"/>
          <w:numId w:val="2"/>
        </w:numPr>
      </w:pPr>
      <w:r>
        <w:t xml:space="preserve">**[SOC 2] Change Management Process** (15%): Document change management procedures with approval workflows</w:t>
      </w:r>
    </w:p>
    <w:p>
      <w:r>
        <w:t xml:space="preserve">... and 8 more action items across all regulations.</w:t>
      </w:r>
    </w:p>
    <w:p>
      <w:pPr>
        <w:pBdr>
          <w:bottom w:val="single" w:sz="6" w:space="1" w:color="999999"/>
        </w:pBdr>
      </w:pPr>
    </w:p>
    <w:p>
      <w:r>
        <w:t xml:space="preserve">This regulatory readiness scorecard is generated from automated code analysis. Scores reflect documentation and configuration readiness, not full legal compliance. This does not constitute legal advice. Have this assessment reviewed by qualified compliance professionals.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