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11 third-party service(s) that process user data. A total of 81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11</w:t>
      </w:r>
    </w:p>
    <w:p>
      <w:r>
        <w:rPr>
          <w:sz w:val="20"/>
        </w:rPr>
        <w:t xml:space="preserve">Documents Generated  |  81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1  |  openai</w:t>
      </w:r>
    </w:p>
    <w:p>
      <w:r>
        <w:rPr>
          <w:sz w:val="20"/>
        </w:rPr>
        <w:t xml:space="preserve">Analytics  |  2  |  @segment/analytics-next, posthog</w:t>
      </w:r>
    </w:p>
    <w:p>
      <w:r>
        <w:rPr>
          <w:sz w:val="20"/>
        </w:rPr>
        <w:t xml:space="preserve">Database  |  1  |  ioredis</w:t>
      </w:r>
    </w:p>
    <w:p>
      <w:r>
        <w:rPr>
          <w:sz w:val="20"/>
        </w:rPr>
        <w:t xml:space="preserve">Email  |  1  |  @sendgrid/mail</w:t>
      </w:r>
    </w:p>
    <w:p>
      <w:r>
        <w:rPr>
          <w:sz w:val="20"/>
        </w:rPr>
        <w:t xml:space="preserve">Other  |  3  |  algoliasearch, cookie-parser, express-session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2  |  @aws-sdk/client-s3, Multer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**AI/ML Services Detected** (openai): EU AI Act Art. 50 transparency obligations apply. AI Disclosure document required.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(11 services): Large attack surface increases data breach risk. Sub-processor management is critical.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(@segment/analytics-next, posthog):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Art. 50 compliance before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Covered  |  AI Disclosure, AI Model Card, AI Governance Framework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11 service(s) across 7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