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11</w:t>
      </w:r>
    </w:p>
    <w:p>
      <w:r>
        <w:rPr>
          <w:sz w:val="20"/>
        </w:rPr>
        <w:t xml:space="preserve">Service categories  |  storage, analytics, email, other, database, ai, payment</w:t>
      </w:r>
    </w:p>
    <w:p>
      <w:r>
        <w:rPr>
          <w:sz w:val="20"/>
        </w:rPr>
        <w:t xml:space="preserve">DPA agreements in place  |  [N] / 11</w:t>
      </w:r>
    </w:p>
    <w:p>
      <w:r>
        <w:rPr>
          <w:sz w:val="20"/>
        </w:rPr>
        <w:t xml:space="preserve">Vendor security reviews completed  |  [N] / 11</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