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root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File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storage,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2026-03-16,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2026-03-16,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Analytics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 years    :active, analytics, 2026-03-16, 790d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ai, 2026-03-16, 90d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File Storage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Analytics  |  2 years  |  790  |  Moderate</w:t>
      </w:r>
    </w:p>
    <w:p>
      <w:r>
        <w:rPr>
          <w:sz w:val="20"/>
        </w:rPr>
        <w:t xml:space="preserve">Other  |  1 year  |  365  |  Moderate</w:t>
      </w:r>
    </w:p>
    <w:p>
      <w:r>
        <w:rPr>
          <w:sz w:val="20"/>
        </w:rPr>
        <w:t xml:space="preserve">AI Service  |  90 days  |  90  |  Low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File Storage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2033-03-14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2029-03-15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2028-05-14 : Analytics — 2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AI Service — 90 days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File Storage, Database, Payment Processing  |  Verify legal obligation; minimise where possible</w:t>
      </w:r>
    </w:p>
    <w:p>
      <w:r>
        <w:rPr>
          <w:sz w:val="20"/>
        </w:rPr>
        <w:t xml:space="preserve">**Moderate** (1–7 years)  |  Email Service, Analytics, Other  |  Review annually; ensure consent is current</w:t>
      </w:r>
    </w:p>
    <w:p>
      <w:r>
        <w:rPr>
          <w:sz w:val="20"/>
        </w:rPr>
        <w:t xml:space="preserve">**Low** (&lt; 1 year)  |  AI Service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