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Risk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Assessor: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provides a risk assessment of all third-party services integrated into the root application. Each vendor has been evaluated for data sensitivity, geographic risk, compliance certifications, data processing scope, and risk mitigation measures.</w:t>
      </w:r>
    </w:p>
    <w:p>
      <w:r>
        <w:t xml:space="preserve">Total third-party vendors assessed: 10</w:t>
      </w:r>
    </w:p>
    <w:p>
      <w:r>
        <w:t xml:space="preserve">For questions about this assessment,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Matrix</w:t>
      </w:r>
    </w:p>
    <w:p>
      <w:r>
        <w:rPr>
          <w:sz w:val="20"/>
        </w:rPr>
        <w:t xml:space="preserve">Vendor  |  Category  |  Data Sensitivity  |  Geographic Risk  |  Certifications  |  Overall Risk</w:t>
      </w:r>
    </w:p>
    <w:p>
      <w:r>
        <w:rPr>
          <w:sz w:val="20"/>
        </w:rPr>
        <w:t xml:space="preserve">Amazon S3 (AWS)  |  storage  |  medium  |  US  |  SOC 2 Type II, ISO 27001, GDPR, HIPAA  |  Medium</w:t>
      </w:r>
    </w:p>
    <w:p>
      <w:r>
        <w:rPr>
          <w:sz w:val="20"/>
        </w:rPr>
        <w:t xml:space="preserve">Segment (Twilio)  |  analytics  |  medium  |  US  |  SOC 2 Type II, ISO 27001, GDPR  |  Medium</w:t>
      </w:r>
    </w:p>
    <w:p>
      <w:r>
        <w:rPr>
          <w:sz w:val="20"/>
        </w:rPr>
        <w:t xml:space="preserve">SendGrid (Twilio)  |  email  |  medium  |  US  |  SOC 2 Type II, ISO 27001, GDPR  |  Medium</w:t>
      </w:r>
    </w:p>
    <w:p>
      <w:r>
        <w:rPr>
          <w:sz w:val="20"/>
        </w:rPr>
        <w:t xml:space="preserve">Algolia  |  other  |  low  |  US  |  SOC 2 Type II, ISO 27001, GDPR  |  Low</w:t>
      </w:r>
    </w:p>
    <w:p>
      <w:r>
        <w:rPr>
          <w:sz w:val="20"/>
        </w:rPr>
        <w:t xml:space="preserve">cookie-parser  |  other  |  low  |  Other  |  None verified  |  High</w:t>
      </w:r>
    </w:p>
    <w:p>
      <w:r>
        <w:rPr>
          <w:sz w:val="20"/>
        </w:rPr>
        <w:t xml:space="preserve">express-session  |  other  |  low  |  Other  |  None verified  |  High</w:t>
      </w:r>
    </w:p>
    <w:p>
      <w:r>
        <w:rPr>
          <w:sz w:val="20"/>
        </w:rPr>
        <w:t xml:space="preserve">Multer  |  storage  |  medium  |  Other  |  None verified  |  Critical</w:t>
      </w:r>
    </w:p>
    <w:p>
      <w:r>
        <w:rPr>
          <w:sz w:val="20"/>
        </w:rPr>
        <w:t xml:space="preserve">OpenAI  |  ai  |  high  |  US  |  SOC 2 Type II, GDPR  |  Critical</w:t>
      </w:r>
    </w:p>
    <w:p>
      <w:r>
        <w:rPr>
          <w:sz w:val="20"/>
        </w:rPr>
        <w:t xml:space="preserve">PostHog  |  analytics  |  medium  |  US  |  SOC 2 Type II, GDPR  |  High</w:t>
      </w:r>
    </w:p>
    <w:p>
      <w:r>
        <w:rPr>
          <w:sz w:val="20"/>
        </w:rPr>
        <w:t xml:space="preserve">Stripe  |  payment  |  high  |  US  |  PCI DSS Level 1, SOC 2 Type II, ISO 27001, GDPR  |  High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Assessments</w:t>
      </w:r>
    </w:p>
    <w:p>
      <w:pPr>
        <w:pStyle w:val="Heading3"/>
      </w:pPr>
      <w:r>
        <w:t>Amazon S3 (AWS)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GDPR, HIPAA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Medium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Segment (Twilio)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**Data Processed**  |  user identity, user behavior, page views, custom events, device information, IP address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User behavior tracking, session data, event logging</w:t>
      </w:r>
    </w:p>
    <w:p>
      <w:r>
        <w:rPr>
          <w:sz w:val="20"/>
        </w:rPr>
        <w:t xml:space="preserve">**Overall Risk Level**  |  Medium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IP anonymization enabled where supported</w:t>
      </w:r>
    </w:p>
    <w:p>
      <w:pPr>
        <w:pStyle w:val="ListParagraph"/>
        <w:numPr>
          <w:ilvl w:val="0"/>
          <w:numId w:val="1"/>
        </w:numPr>
      </w:pPr>
      <w:r>
        <w:t xml:space="preserve">Cookie consent required before tracking</w:t>
      </w:r>
    </w:p>
    <w:p>
      <w:pPr>
        <w:pStyle w:val="ListParagraph"/>
        <w:numPr>
          <w:ilvl w:val="0"/>
          <w:numId w:val="1"/>
        </w:numPr>
      </w:pPr>
      <w:r>
        <w:t xml:space="preserve">Data retention limits configured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SendGrid (Twilio)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**Data Processed**  |  email addresses, email content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Email addresses, message content, delivery metadata</w:t>
      </w:r>
    </w:p>
    <w:p>
      <w:r>
        <w:rPr>
          <w:sz w:val="20"/>
        </w:rPr>
        <w:t xml:space="preserve">**Overall Risk Level**  |  Medium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TLS encryption for email transmission</w:t>
      </w:r>
    </w:p>
    <w:p>
      <w:pPr>
        <w:pStyle w:val="ListParagraph"/>
        <w:numPr>
          <w:ilvl w:val="0"/>
          <w:numId w:val="1"/>
        </w:numPr>
      </w:pPr>
      <w:r>
        <w:t xml:space="preserve">Unsubscribe mechanism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Email content not stored beyond delivery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Algolia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search queries, search result clicks, user search behavior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ISO 27001, GDPR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Low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cookie-parser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cookies, cookie data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express-session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session cookies, session data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Multer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metadata, potential PII in uploaded content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OpenAI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User input processing, content generation, model training (per vendor policy)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Data minimization — only necessary context sent to AI provider</w:t>
      </w:r>
    </w:p>
    <w:p>
      <w:pPr>
        <w:pStyle w:val="ListParagraph"/>
        <w:numPr>
          <w:ilvl w:val="0"/>
          <w:numId w:val="1"/>
        </w:numPr>
      </w:pPr>
      <w:r>
        <w:t xml:space="preserve">Opt-out mechanism for AI processing where applicable</w:t>
      </w:r>
    </w:p>
    <w:p>
      <w:pPr>
        <w:pStyle w:val="ListParagraph"/>
        <w:numPr>
          <w:ilvl w:val="0"/>
          <w:numId w:val="1"/>
        </w:numPr>
      </w:pPr>
      <w:r>
        <w:t xml:space="preserve">Review vendor data retention and training policies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PostHog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**Data Processed**  |  user behavior, session recordings, feature flag usage, device information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SOC 2 Type II, GDPR</w:t>
      </w:r>
    </w:p>
    <w:p>
      <w:r>
        <w:rPr>
          <w:sz w:val="20"/>
        </w:rPr>
        <w:t xml:space="preserve">**Processing Scope**  |  User behavior tracking, session data, event logging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IP anonymization enabled where supported</w:t>
      </w:r>
    </w:p>
    <w:p>
      <w:pPr>
        <w:pStyle w:val="ListParagraph"/>
        <w:numPr>
          <w:ilvl w:val="0"/>
          <w:numId w:val="1"/>
        </w:numPr>
      </w:pPr>
      <w:r>
        <w:t xml:space="preserve">Cookie consent required before tracking</w:t>
      </w:r>
    </w:p>
    <w:p>
      <w:pPr>
        <w:pStyle w:val="ListParagraph"/>
        <w:numPr>
          <w:ilvl w:val="0"/>
          <w:numId w:val="1"/>
        </w:numPr>
      </w:pPr>
      <w:r>
        <w:t xml:space="preserve">Data retention limits configured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Stripe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**Data Processed**  |  payment information, billing address, email, transaction history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PCI DSS Level 1, SOC 2 Type II, ISO 27001, GDPR</w:t>
      </w:r>
    </w:p>
    <w:p>
      <w:r>
        <w:rPr>
          <w:sz w:val="20"/>
        </w:rPr>
        <w:t xml:space="preserve">**Processing Scope**  |  Payment card processing, billing records, transaction history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PCI DSS compliant processor handles all card data</w:t>
      </w:r>
    </w:p>
    <w:p>
      <w:pPr>
        <w:pStyle w:val="ListParagraph"/>
        <w:numPr>
          <w:ilvl w:val="0"/>
          <w:numId w:val="1"/>
        </w:numPr>
      </w:pPr>
      <w:r>
        <w:t xml:space="preserve">No raw payment data stored in application</w:t>
      </w:r>
    </w:p>
    <w:p>
      <w:pPr>
        <w:pStyle w:val="ListParagraph"/>
        <w:numPr>
          <w:ilvl w:val="0"/>
          <w:numId w:val="1"/>
        </w:numPr>
      </w:pPr>
      <w:r>
        <w:t xml:space="preserve">Tokenization used for recurring payments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Due Diligence Checklist</w:t>
      </w:r>
    </w:p>
    <w:p>
      <w:r>
        <w:t xml:space="preserve">Before onboarding any new third-party vendor, complete the following checklist:</w:t>
      </w:r>
    </w:p>
    <w:p>
      <w:pPr>
        <w:pStyle w:val="ListParagraph"/>
        <w:numPr>
          <w:ilvl w:val="0"/>
          <w:numId w:val="1"/>
        </w:numPr>
      </w:pPr>
      <w:r>
        <w:t xml:space="preserve">[ ] **Security Assessment:** Review vendor's SOC 2 report or equivalent security certification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Review:** Verify vendor's privacy policy aligns with your data protection requirements</w:t>
      </w:r>
    </w:p>
    <w:p>
      <w:pPr>
        <w:pStyle w:val="ListParagraph"/>
        <w:numPr>
          <w:ilvl w:val="0"/>
          <w:numId w:val="1"/>
        </w:numPr>
      </w:pPr>
      <w:r>
        <w:t xml:space="preserve">[ ] **Data Processing Agreement:** Execute a DPA that meets GDPR Article 28 requirements</w:t>
      </w:r>
    </w:p>
    <w:p>
      <w:pPr>
        <w:pStyle w:val="ListParagraph"/>
        <w:numPr>
          <w:ilvl w:val="0"/>
          <w:numId w:val="1"/>
        </w:numPr>
      </w:pPr>
      <w:r>
        <w:t xml:space="preserve">[ ] **Sub-processor Disclosure:** Obtain list of vendor's sub-processors and their locations</w:t>
      </w:r>
    </w:p>
    <w:p>
      <w:pPr>
        <w:pStyle w:val="ListParagraph"/>
        <w:numPr>
          <w:ilvl w:val="0"/>
          <w:numId w:val="1"/>
        </w:numPr>
      </w:pPr>
      <w:r>
        <w:t xml:space="preserve">[ ] **Data Residency:** Confirm where data will be stored and processed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Notification:** Verify vendor commits to timely breach notification (72 hours or less)</w:t>
      </w:r>
    </w:p>
    <w:p>
      <w:pPr>
        <w:pStyle w:val="ListParagraph"/>
        <w:numPr>
          <w:ilvl w:val="0"/>
          <w:numId w:val="1"/>
        </w:numPr>
      </w:pPr>
      <w:r>
        <w:t xml:space="preserve">[ ] **Data Deletion:** Confirm vendor can delete data upon request and at contract termination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Controls:** Review vendor's access control and authentication mechanisms</w:t>
      </w:r>
    </w:p>
    <w:p>
      <w:pPr>
        <w:pStyle w:val="ListParagraph"/>
        <w:numPr>
          <w:ilvl w:val="0"/>
          <w:numId w:val="1"/>
        </w:numPr>
      </w:pPr>
      <w:r>
        <w:t xml:space="preserve">[ ] **Encryption:** Verify encryption in transit (TLS 1.2+) and at rest</w:t>
      </w:r>
    </w:p>
    <w:p>
      <w:pPr>
        <w:pStyle w:val="ListParagraph"/>
        <w:numPr>
          <w:ilvl w:val="0"/>
          <w:numId w:val="1"/>
        </w:numPr>
      </w:pPr>
      <w:r>
        <w:t xml:space="preserve">[ ] **Audit Rights:** Ensure contract includes right to audit or request audit reports</w:t>
      </w:r>
    </w:p>
    <w:p>
      <w:pPr>
        <w:pStyle w:val="ListParagraph"/>
        <w:numPr>
          <w:ilvl w:val="0"/>
          <w:numId w:val="1"/>
        </w:numPr>
      </w:pPr>
      <w:r>
        <w:t xml:space="preserve">[ ] **Insurance:** Verify vendor carries adequate cyber liability insurance</w:t>
      </w:r>
    </w:p>
    <w:p>
      <w:pPr>
        <w:pStyle w:val="ListParagraph"/>
        <w:numPr>
          <w:ilvl w:val="0"/>
          <w:numId w:val="1"/>
        </w:numPr>
      </w:pPr>
      <w:r>
        <w:t xml:space="preserve">[ ] **Incident History:** Research vendor's history of security incidents or data breaches</w:t>
      </w:r>
    </w:p>
    <w:p>
      <w:pPr>
        <w:pStyle w:val="ListParagraph"/>
        <w:numPr>
          <w:ilvl w:val="0"/>
          <w:numId w:val="1"/>
        </w:numPr>
      </w:pPr>
      <w:r>
        <w:t xml:space="preserve">[ ] **Business Continuity:** Review vendor's disaster recovery and business continuity plans</w:t>
      </w:r>
    </w:p>
    <w:p>
      <w:pPr>
        <w:pStyle w:val="ListParagraph"/>
        <w:numPr>
          <w:ilvl w:val="0"/>
          <w:numId w:val="1"/>
        </w:numPr>
      </w:pPr>
      <w:r>
        <w:t xml:space="preserve">[ ] **Regulatory Compliance:** Verify compliance with applicable regulations (GDPR, CCPA, HIPAA, etc.)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Contract Review Requirements</w:t>
      </w:r>
    </w:p>
    <w:p>
      <w:r>
        <w:t xml:space="preserve">The following contractual documents should be in place for the third-party vendors used in this project:</w:t>
      </w:r>
    </w:p>
    <w:p>
      <w:pPr>
        <w:pStyle w:val="Heading3"/>
      </w:pPr>
      <w:r>
        <w:t>Required Agreements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ListParagraph"/>
        <w:numPr>
          <w:ilvl w:val="0"/>
          <w:numId w:val="1"/>
        </w:numPr>
      </w:pPr>
      <w:r>
        <w:t xml:space="preserve">[ ] AI-specific data usage addendum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Heading3"/>
      </w:pPr>
      <w:r>
        <w:t>DPA Minimum Requirements</w:t>
      </w:r>
    </w:p>
    <w:p>
      <w:r>
        <w:t xml:space="preserve">Every Data Processing Agreement must include:</w:t>
      </w:r>
    </w:p>
    <w:p>
      <w:pPr>
        <w:pStyle w:val="ListParagraph"/>
        <w:numPr>
          <w:ilvl w:val="0"/>
          <w:numId w:val="2"/>
        </w:numPr>
      </w:pPr>
      <w:r>
        <w:t xml:space="preserve">**Subject matter and duration** of data processing</w:t>
      </w:r>
    </w:p>
    <w:p>
      <w:pPr>
        <w:pStyle w:val="ListParagraph"/>
        <w:numPr>
          <w:ilvl w:val="0"/>
          <w:numId w:val="2"/>
        </w:numPr>
      </w:pPr>
      <w:r>
        <w:t xml:space="preserve">**Nature and purpose** of the processing</w:t>
      </w:r>
    </w:p>
    <w:p>
      <w:pPr>
        <w:pStyle w:val="ListParagraph"/>
        <w:numPr>
          <w:ilvl w:val="0"/>
          <w:numId w:val="2"/>
        </w:numPr>
      </w:pPr>
      <w:r>
        <w:t xml:space="preserve">**Types of personal data** processed</w:t>
      </w:r>
    </w:p>
    <w:p>
      <w:pPr>
        <w:pStyle w:val="ListParagraph"/>
        <w:numPr>
          <w:ilvl w:val="0"/>
          <w:numId w:val="2"/>
        </w:numPr>
      </w:pPr>
      <w:r>
        <w:t xml:space="preserve">**Categories of data subjects** affected</w:t>
      </w:r>
    </w:p>
    <w:p>
      <w:pPr>
        <w:pStyle w:val="ListParagraph"/>
        <w:numPr>
          <w:ilvl w:val="0"/>
          <w:numId w:val="2"/>
        </w:numPr>
      </w:pPr>
      <w:r>
        <w:t xml:space="preserve">**Obligations and rights** of the data controller</w:t>
      </w:r>
    </w:p>
    <w:p>
      <w:pPr>
        <w:pStyle w:val="ListParagraph"/>
        <w:numPr>
          <w:ilvl w:val="0"/>
          <w:numId w:val="2"/>
        </w:numPr>
      </w:pPr>
      <w:r>
        <w:t xml:space="preserve">**Technical and organizational security measures**</w:t>
      </w:r>
    </w:p>
    <w:p>
      <w:pPr>
        <w:pStyle w:val="ListParagraph"/>
        <w:numPr>
          <w:ilvl w:val="0"/>
          <w:numId w:val="2"/>
        </w:numPr>
      </w:pPr>
      <w:r>
        <w:t xml:space="preserve">**Sub-processor engagement** conditions and notification obligations</w:t>
      </w:r>
    </w:p>
    <w:p>
      <w:pPr>
        <w:pStyle w:val="ListParagraph"/>
        <w:numPr>
          <w:ilvl w:val="0"/>
          <w:numId w:val="2"/>
        </w:numPr>
      </w:pPr>
      <w:r>
        <w:t xml:space="preserve">**Data breach notification** procedures and timelines</w:t>
      </w:r>
    </w:p>
    <w:p>
      <w:pPr>
        <w:pStyle w:val="ListParagraph"/>
        <w:numPr>
          <w:ilvl w:val="0"/>
          <w:numId w:val="2"/>
        </w:numPr>
      </w:pPr>
      <w:r>
        <w:t xml:space="preserve">**Data return and deletion** upon contract termination</w:t>
      </w:r>
    </w:p>
    <w:p>
      <w:pPr>
        <w:pStyle w:val="ListParagraph"/>
        <w:numPr>
          <w:ilvl w:val="0"/>
          <w:numId w:val="2"/>
        </w:numPr>
      </w:pPr>
      <w:r>
        <w:t xml:space="preserve">**Audit rights** for the data controller</w:t>
      </w:r>
    </w:p>
    <w:p>
      <w:pPr>
        <w:pStyle w:val="Heading3"/>
      </w:pPr>
      <w:r>
        <w:t>Additional Agreements by Scenario</w:t>
      </w:r>
    </w:p>
    <w:p>
      <w:r>
        <w:rPr>
          <w:sz w:val="20"/>
        </w:rPr>
        <w:t xml:space="preserve">Scenario  |  Required Agreement</w:t>
      </w:r>
    </w:p>
    <w:p>
      <w:r>
        <w:rPr>
          <w:sz w:val="20"/>
        </w:rPr>
        <w:t xml:space="preserve">Processing health data (PHI)  |  BAA (Business Associate Agreement)</w:t>
      </w:r>
    </w:p>
    <w:p>
      <w:r>
        <w:rPr>
          <w:sz w:val="20"/>
        </w:rPr>
        <w:t xml:space="preserve">Cross-border data transfers (EU to non-EU)  |  Standard Contractual Clauses (SCCs)</w:t>
      </w:r>
    </w:p>
    <w:p>
      <w:r>
        <w:rPr>
          <w:sz w:val="20"/>
        </w:rPr>
        <w:t xml:space="preserve">Payment card processing  |  PCI DSS Attestation of Compliance</w:t>
      </w:r>
    </w:p>
    <w:p>
      <w:r>
        <w:rPr>
          <w:sz w:val="20"/>
        </w:rPr>
        <w:t xml:space="preserve">Processing children's data  |  COPPA-compliant agreement</w:t>
      </w:r>
    </w:p>
    <w:p>
      <w:r>
        <w:rPr>
          <w:sz w:val="20"/>
        </w:rPr>
        <w:t xml:space="preserve">AI/ML data processing  |  AI data usage and training opt-out addendum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risk assessment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its data processing practices or certifications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any listed vendor</w:t>
      </w:r>
    </w:p>
    <w:p>
      <w:pPr>
        <w:pBdr>
          <w:bottom w:val="single" w:sz="6" w:space="1" w:color="999999"/>
        </w:pBdr>
      </w:pPr>
    </w:p>
    <w:p>
      <w:r>
        <w:t xml:space="preserve">This Third-Party Risk Assessment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