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Severity Matrix</w:t>
      </w:r>
    </w:p>
    <w:p>
      <w:pPr>
        <w:ind w:left="720"/>
      </w:pPr>
      <w:r>
        <w:rPr>
          <w:i/>
          <w:color w:val="666666"/>
        </w:rPr>
        <w:t xml:space="preserve">**Severity classification and response framework for [Your Company Name].**</w:t>
      </w:r>
    </w:p>
    <w:p>
      <w:pPr>
        <w:ind w:left="720"/>
      </w:pPr>
      <w:r>
        <w:rPr>
          <w:i/>
          <w:color w:val="666666"/>
        </w:rPr>
        <w:t xml:space="preserve">0 services | Generated on 2026-03-16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Bdr>
          <w:bottom w:val="single" w:sz="6" w:space="1" w:color="999999"/>
        </w:pBdr>
      </w:pPr>
    </w:p>
    <w:p>
      <w:pPr>
        <w:pStyle w:val="Heading2"/>
      </w:pPr>
      <w:r>
        <w:t>Purpose</w:t>
      </w:r>
    </w:p>
    <w:p>
      <w:r>
        <w:t xml:space="preserve">This matrix defines severity levels for security incidents and service disruptions. It establishes response times, escalation paths, and communication requirements to ensure consistent and rapid incident handling.</w:t>
      </w:r>
    </w:p>
    <w:p>
      <w:pPr>
        <w:pBdr>
          <w:bottom w:val="single" w:sz="6" w:space="1" w:color="999999"/>
        </w:pBdr>
      </w:pPr>
    </w:p>
    <w:p>
      <w:pPr>
        <w:pStyle w:val="Heading2"/>
      </w:pPr>
      <w:r>
        <w:t>1. Severity Level Definitions</w:t>
      </w:r>
    </w:p>
    <w:p>
      <w:r>
        <w:rPr>
          <w:sz w:val="20"/>
        </w:rPr>
        <w:t xml:space="preserve">Level  |  Name  |  Definition  |  Examples</w:t>
      </w:r>
    </w:p>
    <w:p>
      <w:r>
        <w:rPr>
          <w:sz w:val="20"/>
        </w:rPr>
        <w:t xml:space="preserve">**P0**  |  **Catastrophic**  |  Complete system compromise, active data exfiltration, or regulatory breach affecting all users  |  Production database breach, ransomware encrypting all systems, leaked master encryption keys, complete auth bypass</w:t>
      </w:r>
    </w:p>
    <w:p>
      <w:r>
        <w:rPr>
          <w:sz w:val="20"/>
        </w:rPr>
        <w:t xml:space="preserve">**P1**  |  **Critical**  |  Major security incident with confirmed data exposure or significant service degradation  |  Unauthorized access to PII, API key compromise with data access, partial service outage affecting &gt;50% users</w:t>
      </w:r>
    </w:p>
    <w:p>
      <w:r>
        <w:rPr>
          <w:sz w:val="20"/>
        </w:rPr>
        <w:t xml:space="preserve">**P2**  |  **High**  |  Security incident with potential data exposure or moderate service impact  |  Vulnerability actively exploited, unauthorized access detected but contained, service degradation affecting &lt;50% users</w:t>
      </w:r>
    </w:p>
    <w:p>
      <w:r>
        <w:rPr>
          <w:sz w:val="20"/>
        </w:rPr>
        <w:t xml:space="preserve">**P3**  |  **Medium**  |  Security event requiring investigation with limited immediate impact  |  Suspicious access patterns, failed intrusion attempts, configuration drift detected, minor data quality issues</w:t>
      </w:r>
    </w:p>
    <w:p>
      <w:r>
        <w:rPr>
          <w:sz w:val="20"/>
        </w:rPr>
        <w:t xml:space="preserve">**P4**  |  **Low**  |  Minor security event or policy violation with no data impact  |  Phishing attempt blocked, minor policy violation, non-sensitive log exposure, informational security alert</w:t>
      </w:r>
    </w:p>
    <w:p>
      <w:pPr>
        <w:pBdr>
          <w:bottom w:val="single" w:sz="6" w:space="1" w:color="999999"/>
        </w:pBdr>
      </w:pPr>
    </w:p>
    <w:p>
      <w:pPr>
        <w:pStyle w:val="Heading2"/>
      </w:pPr>
      <w:r>
        <w:t>2. Response Time Requirements</w:t>
      </w:r>
    </w:p>
    <w:p>
      <w:r>
        <w:rPr>
          <w:sz w:val="20"/>
        </w:rPr>
        <w:t xml:space="preserve">Level  |  Acknowledge  |  Triage  |  Initial Response  |  Resolution Target  |  Post-Mortem</w:t>
      </w:r>
    </w:p>
    <w:p>
      <w:r>
        <w:rPr>
          <w:sz w:val="20"/>
        </w:rPr>
        <w:t xml:space="preserve">**P0**  |  5 minutes  |  15 minutes  |  30 minutes  |  4 hours  |  Within 24 hours</w:t>
      </w:r>
    </w:p>
    <w:p>
      <w:r>
        <w:rPr>
          <w:sz w:val="20"/>
        </w:rPr>
        <w:t xml:space="preserve">**P1**  |  15 minutes  |  30 minutes  |  1 hour  |  8 hours  |  Within 48 hours</w:t>
      </w:r>
    </w:p>
    <w:p>
      <w:r>
        <w:rPr>
          <w:sz w:val="20"/>
        </w:rPr>
        <w:t xml:space="preserve">**P2**  |  30 minutes  |  1 hour  |  4 hours  |  24 hours  |  Within 5 business days</w:t>
      </w:r>
    </w:p>
    <w:p>
      <w:r>
        <w:rPr>
          <w:sz w:val="20"/>
        </w:rPr>
        <w:t xml:space="preserve">**P3**  |  2 hours  |  4 hours  |  24 hours  |  72 hours  |  Within 10 business days</w:t>
      </w:r>
    </w:p>
    <w:p>
      <w:r>
        <w:rPr>
          <w:sz w:val="20"/>
        </w:rPr>
        <w:t xml:space="preserve">**P4**  |  24 hours  |  48 hours  |  72 hours  |  1 week  |  Monthly review</w:t>
      </w:r>
    </w:p>
    <w:p>
      <w:pPr>
        <w:pBdr>
          <w:bottom w:val="single" w:sz="6" w:space="1" w:color="999999"/>
        </w:pBdr>
      </w:pPr>
    </w:p>
    <w:p>
      <w:pPr>
        <w:pStyle w:val="Heading2"/>
      </w:pPr>
      <w:r>
        <w:t>3. Escalation Paths</w:t>
      </w:r>
    </w:p>
    <w:p>
      <w:pPr>
        <w:pStyle w:val="Heading3"/>
      </w:pPr>
      <w:r>
        <w:t>P0 — Catastrophic</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(immediate)</w:t>
      </w:r>
    </w:p>
    <w:p>
      <w:pPr>
        <w:pStyle w:val="Code"/>
      </w:pPr>
      <w:r>
        <w:rPr>
          <w:rFonts w:ascii="Courier New" w:hAnsi="Courier New"/>
          <w:sz w:val="18"/>
        </w:rPr>
        <w:t xml:space="preserve">       └─&gt; CTO / CISO (within 5 min)</w:t>
      </w:r>
    </w:p>
    <w:p>
      <w:pPr>
        <w:pStyle w:val="Code"/>
      </w:pPr>
      <w:r>
        <w:rPr>
          <w:rFonts w:ascii="Courier New" w:hAnsi="Courier New"/>
          <w:sz w:val="18"/>
        </w:rPr>
        <w:t xml:space="preserve">            └─&gt; CEO + Legal Counsel (within 15 min)</w:t>
      </w:r>
    </w:p>
    <w:p>
      <w:pPr>
        <w:pStyle w:val="Code"/>
      </w:pPr>
      <w:r>
        <w:rPr>
          <w:rFonts w:ascii="Courier New" w:hAnsi="Courier New"/>
          <w:sz w:val="18"/>
        </w:rPr>
        <w:t xml:space="preserve">                 └─&gt; Board notification (within 1 hour)</w:t>
      </w:r>
    </w:p>
    <w:p>
      <w:pPr>
        <w:pStyle w:val="Code"/>
      </w:pPr>
      <w:r>
        <w:rPr>
          <w:rFonts w:ascii="Courier New" w:hAnsi="Courier New"/>
          <w:sz w:val="18"/>
        </w:rPr>
        <w:t xml:space="preserve">                      └─&gt; Regulatory authority (within 72 hours per GDPR)</w:t>
      </w:r>
    </w:p>
    <w:p>
      <w:pPr>
        <w:pStyle w:val="Heading3"/>
      </w:pPr>
      <w:r>
        <w:t>P1 — Critical</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15 min)</w:t>
      </w:r>
    </w:p>
    <w:p>
      <w:pPr>
        <w:pStyle w:val="Code"/>
      </w:pPr>
      <w:r>
        <w:rPr>
          <w:rFonts w:ascii="Courier New" w:hAnsi="Courier New"/>
          <w:sz w:val="18"/>
        </w:rPr>
        <w:t xml:space="preserve">       └─&gt; Engineering Lead + Security Lead (within 30 min)</w:t>
      </w:r>
    </w:p>
    <w:p>
      <w:pPr>
        <w:pStyle w:val="Code"/>
      </w:pPr>
      <w:r>
        <w:rPr>
          <w:rFonts w:ascii="Courier New" w:hAnsi="Courier New"/>
          <w:sz w:val="18"/>
        </w:rPr>
        <w:t xml:space="preserve">            └─&gt; CTO / CISO (within 1 hour)</w:t>
      </w:r>
    </w:p>
    <w:p>
      <w:pPr>
        <w:pStyle w:val="Code"/>
      </w:pPr>
      <w:r>
        <w:rPr>
          <w:rFonts w:ascii="Courier New" w:hAnsi="Courier New"/>
          <w:sz w:val="18"/>
        </w:rPr>
        <w:t xml:space="preserve">                 └─&gt; DPO for data breach assessment</w:t>
      </w:r>
    </w:p>
    <w:p>
      <w:pPr>
        <w:pStyle w:val="Heading3"/>
      </w:pPr>
      <w:r>
        <w:t>P2 — High</w:t>
      </w:r>
    </w:p>
    <w:p>
      <w:pPr>
        <w:pStyle w:val="Code"/>
      </w:pPr>
      <w:r>
        <w:rPr>
          <w:rFonts w:ascii="Courier New" w:hAnsi="Courier New"/>
          <w:sz w:val="18"/>
        </w:rPr>
        <w:t xml:space="preserve">Discoverer</w:t>
      </w:r>
    </w:p>
    <w:p>
      <w:pPr>
        <w:pStyle w:val="Code"/>
      </w:pPr>
      <w:r>
        <w:rPr>
          <w:rFonts w:ascii="Courier New" w:hAnsi="Courier New"/>
          <w:sz w:val="18"/>
        </w:rPr>
        <w:t xml:space="preserve">  └─&gt; Security On-Call (within 30 min)</w:t>
      </w:r>
    </w:p>
    <w:p>
      <w:pPr>
        <w:pStyle w:val="Code"/>
      </w:pPr>
      <w:r>
        <w:rPr>
          <w:rFonts w:ascii="Courier New" w:hAnsi="Courier New"/>
          <w:sz w:val="18"/>
        </w:rPr>
        <w:t xml:space="preserve">       └─&gt; Engineering Lead (within 1 hour)</w:t>
      </w:r>
    </w:p>
    <w:p>
      <w:pPr>
        <w:pStyle w:val="Code"/>
      </w:pPr>
      <w:r>
        <w:rPr>
          <w:rFonts w:ascii="Courier New" w:hAnsi="Courier New"/>
          <w:sz w:val="18"/>
        </w:rPr>
        <w:t xml:space="preserve">            └─&gt; CTO (if escalation needed)</w:t>
      </w:r>
    </w:p>
    <w:p>
      <w:pPr>
        <w:pStyle w:val="Heading3"/>
      </w:pPr>
      <w:r>
        <w:t>P3/P4 — Medium/Low</w:t>
      </w:r>
    </w:p>
    <w:p>
      <w:pPr>
        <w:pStyle w:val="Code"/>
      </w:pPr>
      <w:r>
        <w:rPr>
          <w:rFonts w:ascii="Courier New" w:hAnsi="Courier New"/>
          <w:sz w:val="18"/>
        </w:rPr>
        <w:t xml:space="preserve">Discoverer</w:t>
      </w:r>
    </w:p>
    <w:p>
      <w:pPr>
        <w:pStyle w:val="Code"/>
      </w:pPr>
      <w:r>
        <w:rPr>
          <w:rFonts w:ascii="Courier New" w:hAnsi="Courier New"/>
          <w:sz w:val="18"/>
        </w:rPr>
        <w:t xml:space="preserve">  └─&gt; Security channel / ticket</w:t>
      </w:r>
    </w:p>
    <w:p>
      <w:pPr>
        <w:pStyle w:val="Code"/>
      </w:pPr>
      <w:r>
        <w:rPr>
          <w:rFonts w:ascii="Courier New" w:hAnsi="Courier New"/>
          <w:sz w:val="18"/>
        </w:rPr>
        <w:t xml:space="preserve">       └─&gt; Security team triage (next business day for P4)</w:t>
      </w:r>
    </w:p>
    <w:p>
      <w:pPr>
        <w:pBdr>
          <w:bottom w:val="single" w:sz="6" w:space="1" w:color="999999"/>
        </w:pBdr>
      </w:pPr>
    </w:p>
    <w:p>
      <w:pPr>
        <w:pStyle w:val="Heading2"/>
      </w:pPr>
      <w:r>
        <w:t>4. Communication Requirements</w:t>
      </w:r>
    </w:p>
    <w:p>
      <w:r>
        <w:rPr>
          <w:sz w:val="20"/>
        </w:rPr>
        <w:t xml:space="preserve">Level  |  Internal Comms  |  Customer Comms  |  Regulatory Notification  |  Public Disclosure</w:t>
      </w:r>
    </w:p>
    <w:p>
      <w:r>
        <w:rPr>
          <w:sz w:val="20"/>
        </w:rPr>
        <w:t xml:space="preserve">**P0**  |  All-hands war room, executive updates every 30 min  |  Status page + direct email within 1 hour  |  Within 72 hours (GDPR Art. 33) to [[dpo@example.com]](mailto:[dpo@example.com])  |  If data breach confirmed, within 72 hours</w:t>
      </w:r>
    </w:p>
    <w:p>
      <w:r>
        <w:rPr>
          <w:sz w:val="20"/>
        </w:rPr>
        <w:t xml:space="preserve">**P1**  |  Security + engineering channel, executive update hourly  |  Status page update, affected users notified within 24 hours  |  Assess within 36 hours, notify if required  |  Only if legally required</w:t>
      </w:r>
    </w:p>
    <w:p>
      <w:r>
        <w:rPr>
          <w:sz w:val="20"/>
        </w:rPr>
        <w:t xml:space="preserve">**P2**  |  Security channel, engineering lead notified  |  Status page if user-facing impact  |  Assess within 72 hours  |  No</w:t>
      </w:r>
    </w:p>
    <w:p>
      <w:r>
        <w:rPr>
          <w:sz w:val="20"/>
        </w:rPr>
        <w:t xml:space="preserve">**P3**  |  Security ticket, weekly summary  |  No  |  No (unless investigation escalates)  |  No</w:t>
      </w:r>
    </w:p>
    <w:p>
      <w:r>
        <w:rPr>
          <w:sz w:val="20"/>
        </w:rPr>
        <w:t xml:space="preserve">**P4**  |  Security ticket  |  No  |  No  |  No</w:t>
      </w:r>
    </w:p>
    <w:p>
      <w:pPr>
        <w:pBdr>
          <w:bottom w:val="single" w:sz="6" w:space="1" w:color="999999"/>
        </w:pBdr>
      </w:pPr>
    </w:p>
    <w:p>
      <w:pPr>
        <w:pStyle w:val="Heading2"/>
      </w:pPr>
      <w:r>
        <w:t>5. Communication Channels</w:t>
      </w:r>
    </w:p>
    <w:p>
      <w:r>
        <w:rPr>
          <w:sz w:val="20"/>
        </w:rPr>
        <w:t xml:space="preserve">Channel  |  Used For  |  Access</w:t>
      </w:r>
    </w:p>
    <w:p>
      <w:r>
        <w:rPr>
          <w:sz w:val="20"/>
        </w:rPr>
        <w:t xml:space="preserve">Security email ([[your-email@example.com]](mailto:[your-email@example.com]))  |  External reports, regulatory correspondence  |  Security team</w:t>
      </w:r>
    </w:p>
    <w:p>
      <w:r>
        <w:rPr>
          <w:sz w:val="20"/>
        </w:rPr>
        <w:t xml:space="preserve">#security-incidents (Slack/Teams)  |  Real-time incident coordination  |  Security + engineering</w:t>
      </w:r>
    </w:p>
    <w:p>
      <w:r>
        <w:rPr>
          <w:sz w:val="20"/>
        </w:rPr>
        <w:t xml:space="preserve">War room (video call)  |  P0/P1 live coordination  |  All responders</w:t>
      </w:r>
    </w:p>
    <w:p>
      <w:r>
        <w:rPr>
          <w:sz w:val="20"/>
        </w:rPr>
        <w:t xml:space="preserve">Incident management tool  |  Ticket tracking, timeline documentation  |  All staff</w:t>
      </w:r>
    </w:p>
    <w:p>
      <w:r>
        <w:rPr>
          <w:sz w:val="20"/>
        </w:rPr>
        <w:t xml:space="preserve">Status page  |  Customer-facing incident updates  |  Public</w:t>
      </w:r>
    </w:p>
    <w:p>
      <w:pPr>
        <w:pBdr>
          <w:bottom w:val="single" w:sz="6" w:space="1" w:color="999999"/>
        </w:pBdr>
      </w:pPr>
    </w:p>
    <w:p>
      <w:pPr>
        <w:pStyle w:val="Heading2"/>
      </w:pPr>
      <w:r>
        <w:t>6. Per-Service Impact Assessment</w:t>
      </w:r>
    </w:p>
    <w:p>
      <w:r>
        <w:t xml:space="preserve">Severity classification when each detected service is compromised or experiences an outage.</w:t>
      </w:r>
    </w:p>
    <w:p>
      <w:r>
        <w:rPr>
          <w:sz w:val="20"/>
        </w:rPr>
        <w:t xml:space="preserve">Service  |  Category  |  If Compromised  |  If Outage  |  Data at Risk  |  Regulatory Impact</w:t>
      </w:r>
    </w:p>
    <w:p>
      <w:r>
        <w:rPr>
          <w:sz w:val="20"/>
        </w:rPr>
        <w:t xml:space="preserve">*No services detected*  |  —  |  —  |  —  |  —  |  —</w:t>
      </w:r>
    </w:p>
    <w:p>
      <w:pPr>
        <w:pBdr>
          <w:bottom w:val="single" w:sz="6" w:space="1" w:color="999999"/>
        </w:pBdr>
      </w:pPr>
    </w:p>
    <w:p>
      <w:pPr>
        <w:pStyle w:val="Heading2"/>
      </w:pPr>
      <w:r>
        <w:t>7. Category-Specific Incident Scenarios</w:t>
      </w:r>
    </w:p>
    <w:p>
      <w:pPr>
        <w:pBdr>
          <w:bottom w:val="single" w:sz="6" w:space="1" w:color="999999"/>
        </w:pBdr>
      </w:pPr>
    </w:p>
    <w:p>
      <w:pPr>
        <w:pStyle w:val="Heading2"/>
      </w:pPr>
      <w:r>
        <w:t>8. Severity Decision Tree</w:t>
      </w:r>
    </w:p>
    <w:p>
      <w:r>
        <w:t xml:space="preserve">Use this decision tree to classify incidents when severity is unclear:</w:t>
      </w:r>
    </w:p>
    <w:p>
      <w:pPr>
        <w:pStyle w:val="Code"/>
      </w:pPr>
      <w:r>
        <w:rPr>
          <w:rFonts w:ascii="Courier New" w:hAnsi="Courier New"/>
          <w:sz w:val="18"/>
        </w:rPr>
        <w:t xml:space="preserve">Is there confirmed data exfiltration or complete system compromise?</w:t>
      </w:r>
    </w:p>
    <w:p>
      <w:pPr>
        <w:pStyle w:val="Code"/>
      </w:pPr>
      <w:r>
        <w:rPr>
          <w:rFonts w:ascii="Courier New" w:hAnsi="Courier New"/>
          <w:sz w:val="18"/>
        </w:rPr>
        <w:t xml:space="preserve">  ├─ YES → P0 (Catastrophic)</w:t>
      </w:r>
    </w:p>
    <w:p>
      <w:pPr>
        <w:pStyle w:val="Code"/>
      </w:pPr>
      <w:r>
        <w:rPr>
          <w:rFonts w:ascii="Courier New" w:hAnsi="Courier New"/>
          <w:sz w:val="18"/>
        </w:rPr>
        <w:t xml:space="preserve">  └─ NO</w:t>
      </w:r>
    </w:p>
    <w:p>
      <w:pPr>
        <w:pStyle w:val="Code"/>
      </w:pPr>
      <w:r>
        <w:rPr>
          <w:rFonts w:ascii="Courier New" w:hAnsi="Courier New"/>
          <w:sz w:val="18"/>
        </w:rPr>
        <w:t xml:space="preserve">       Is there confirmed unauthorized access to PII or critical systems?</w:t>
      </w:r>
    </w:p>
    <w:p>
      <w:pPr>
        <w:pStyle w:val="Code"/>
      </w:pPr>
      <w:r>
        <w:rPr>
          <w:rFonts w:ascii="Courier New" w:hAnsi="Courier New"/>
          <w:sz w:val="18"/>
        </w:rPr>
        <w:t xml:space="preserve">       ├─ YES → P1 (Critical)</w:t>
      </w:r>
    </w:p>
    <w:p>
      <w:pPr>
        <w:pStyle w:val="Code"/>
      </w:pPr>
      <w:r>
        <w:rPr>
          <w:rFonts w:ascii="Courier New" w:hAnsi="Courier New"/>
          <w:sz w:val="18"/>
        </w:rPr>
        <w:t xml:space="preserve">       └─ NO</w:t>
      </w:r>
    </w:p>
    <w:p>
      <w:pPr>
        <w:pStyle w:val="Code"/>
      </w:pPr>
      <w:r>
        <w:rPr>
          <w:rFonts w:ascii="Courier New" w:hAnsi="Courier New"/>
          <w:sz w:val="18"/>
        </w:rPr>
        <w:t xml:space="preserve">            Is there an active exploit or significant service degradation?</w:t>
      </w:r>
    </w:p>
    <w:p>
      <w:pPr>
        <w:pStyle w:val="Code"/>
      </w:pPr>
      <w:r>
        <w:rPr>
          <w:rFonts w:ascii="Courier New" w:hAnsi="Courier New"/>
          <w:sz w:val="18"/>
        </w:rPr>
        <w:t xml:space="preserve">            ├─ YES → P2 (High)</w:t>
      </w:r>
    </w:p>
    <w:p>
      <w:pPr>
        <w:pStyle w:val="Code"/>
      </w:pPr>
      <w:r>
        <w:rPr>
          <w:rFonts w:ascii="Courier New" w:hAnsi="Courier New"/>
          <w:sz w:val="18"/>
        </w:rPr>
        <w:t xml:space="preserve">            └─ NO</w:t>
      </w:r>
    </w:p>
    <w:p>
      <w:pPr>
        <w:pStyle w:val="Code"/>
      </w:pPr>
      <w:r>
        <w:rPr>
          <w:rFonts w:ascii="Courier New" w:hAnsi="Courier New"/>
          <w:sz w:val="18"/>
        </w:rPr>
        <w:t xml:space="preserve">                 Is investigation required to determine impact?</w:t>
      </w:r>
    </w:p>
    <w:p>
      <w:pPr>
        <w:pStyle w:val="Code"/>
      </w:pPr>
      <w:r>
        <w:rPr>
          <w:rFonts w:ascii="Courier New" w:hAnsi="Courier New"/>
          <w:sz w:val="18"/>
        </w:rPr>
        <w:t xml:space="preserve">                 ├─ YES → P3 (Medium)</w:t>
      </w:r>
    </w:p>
    <w:p>
      <w:pPr>
        <w:pStyle w:val="Code"/>
      </w:pPr>
      <w:r>
        <w:rPr>
          <w:rFonts w:ascii="Courier New" w:hAnsi="Courier New"/>
          <w:sz w:val="18"/>
        </w:rPr>
        <w:t xml:space="preserve">                 └─ NO → P4 (Low)</w:t>
      </w:r>
    </w:p>
    <w:p>
      <w:pPr>
        <w:pBdr>
          <w:bottom w:val="single" w:sz="6" w:space="1" w:color="999999"/>
        </w:pBdr>
      </w:pPr>
    </w:p>
    <w:p>
      <w:pPr>
        <w:pStyle w:val="Heading2"/>
      </w:pPr>
      <w:r>
        <w:t>9. Regulatory Response Timelines</w:t>
      </w:r>
    </w:p>
    <w:p>
      <w:r>
        <w:t xml:space="preserve">Mandatory notification deadlines by regulation for data breach incidents (P0/P1).</w:t>
      </w:r>
    </w:p>
    <w:p>
      <w:r>
        <w:rPr>
          <w:sz w:val="20"/>
        </w:rPr>
        <w:t xml:space="preserve">Regulation  |  Authority Notification  |  Individual Notification  |  Key Requirement</w:t>
      </w:r>
    </w:p>
    <w:p>
      <w:r>
        <w:rPr>
          <w:sz w:val="20"/>
        </w:rPr>
        <w:t xml:space="preserve">GDPR (Art. 33/34)  |  **72 hours**  |  Without undue delay (high risk)  |  Must document all breaches regardless of notification</w:t>
      </w:r>
    </w:p>
    <w:p>
      <w:r>
        <w:rPr>
          <w:sz w:val="20"/>
        </w:rPr>
        <w:t xml:space="preserve">UK GDPR  |  **72 hours**  |  Without undue delay (high risk)  |  Notify ICO via online portal</w:t>
      </w:r>
    </w:p>
    <w:p>
      <w:r>
        <w:rPr>
          <w:sz w:val="20"/>
        </w:rPr>
        <w:t xml:space="preserve">CCPA/CPRA  |  Varies by state  |  Without unreasonable delay  |  AG notification for 500+ CA residents</w:t>
      </w:r>
    </w:p>
    <w:p>
      <w:r>
        <w:rPr>
          <w:sz w:val="20"/>
        </w:rPr>
        <w:t xml:space="preserve">ePrivacy  |  Per member state law  |  Per member state law  |  Cookie/tracking specific requirements</w:t>
      </w:r>
    </w:p>
    <w:p>
      <w:pPr>
        <w:pBdr>
          <w:bottom w:val="single" w:sz="6" w:space="1" w:color="999999"/>
        </w:pBdr>
      </w:pPr>
    </w:p>
    <w:p>
      <w:pPr>
        <w:pStyle w:val="Heading2"/>
      </w:pPr>
      <w:r>
        <w:t>10. Incident Response Roles</w:t>
      </w:r>
    </w:p>
    <w:p>
      <w:r>
        <w:rPr>
          <w:sz w:val="20"/>
        </w:rPr>
        <w:t xml:space="preserve">Role  |  P0 Responsibility  |  P1-P2 Responsibility  |  P3-P4 Responsibility</w:t>
      </w:r>
    </w:p>
    <w:p>
      <w:r>
        <w:rPr>
          <w:sz w:val="20"/>
        </w:rPr>
        <w:t xml:space="preserve">**Incident Commander**  |  Leads war room, all decisions  |  Coordinates response  |  Reviews report</w:t>
      </w:r>
    </w:p>
    <w:p>
      <w:r>
        <w:rPr>
          <w:sz w:val="20"/>
        </w:rPr>
        <w:t xml:space="preserve">**Security Lead**  |  Active investigation, containment  |  Investigation lead  |  Triages tickets</w:t>
      </w:r>
    </w:p>
    <w:p>
      <w:r>
        <w:rPr>
          <w:sz w:val="20"/>
        </w:rPr>
        <w:t xml:space="preserve">**Engineering Lead**  |  Emergency fixes, system isolation  |  Deploys fixes  |  Assigns fixes</w:t>
      </w:r>
    </w:p>
    <w:p>
      <w:r>
        <w:rPr>
          <w:sz w:val="20"/>
        </w:rPr>
        <w:t xml:space="preserve">**DPO** ([[dpo@example.com]](mailto:[dpo@example.com]))  |  Regulatory notification decision  |  Breach assessment  |  Monthly review</w:t>
      </w:r>
    </w:p>
    <w:p>
      <w:r>
        <w:rPr>
          <w:sz w:val="20"/>
        </w:rPr>
        <w:t xml:space="preserve">**Communications Lead**  |  Customer + public messaging  |  Status page updates  |  No action</w:t>
      </w:r>
    </w:p>
    <w:p>
      <w:r>
        <w:rPr>
          <w:sz w:val="20"/>
        </w:rPr>
        <w:t xml:space="preserve">**Legal Counsel**  |  Regulatory response, evidence preservation  |  Legal assessment  |  No action</w:t>
      </w:r>
    </w:p>
    <w:p>
      <w:r>
        <w:rPr>
          <w:sz w:val="20"/>
        </w:rPr>
        <w:t xml:space="preserve">**Executive Sponsor**  |  Final authority, board comms  |  Informed, escalation  |  Informed via report</w:t>
      </w:r>
    </w:p>
    <w:p>
      <w:pPr>
        <w:pBdr>
          <w:bottom w:val="single" w:sz="6" w:space="1" w:color="999999"/>
        </w:pBdr>
      </w:pPr>
    </w:p>
    <w:p>
      <w:r>
        <w:t xml:space="preserve">This incident severity matrix was generated by [Codepliant](https://github.com/joechensmartz/codepliant) based on an automated scan of the pocketbase codebase (0 services detected). Customize response times, escalation paths, and roles to match your organization's structure. This document should be reviewed by your security team and legal counsel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