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**9**</w:t>
      </w:r>
    </w:p>
    <w:p>
      <w:r>
        <w:rPr>
          <w:sz w:val="20"/>
        </w:rPr>
        <w:t xml:space="preserve">Critical Gaps  |  **3**</w:t>
      </w:r>
    </w:p>
    <w:p>
      <w:r>
        <w:rPr>
          <w:sz w:val="20"/>
        </w:rPr>
        <w:t xml:space="preserve">High Priority Gaps  |  **5**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6</w:t>
      </w:r>
    </w:p>
    <w:p>
      <w:r>
        <w:rPr>
          <w:sz w:val="20"/>
        </w:rPr>
        <w:t xml:space="preserve">Regulations Covered  |  GDPR, PCI DSS,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Data Protection Impact Assessment (Art. 35)  |  Large-scale data processing detected  |  Completed DPIA for all high-risk processing activities  |  Conduct formal DPIA with risk assessment and DPO consultation  |  🔴 Critical  |  High</w:t>
      </w:r>
    </w:p>
    <w:p>
      <w:r>
        <w:rPr>
          <w:sz w:val="20"/>
        </w:rPr>
        <w:t xml:space="preserve">Breach Notification (Art. 33/34)  |  Incident response plan generated  |  72-hour breach notification procedure tested and operational  |  Conduct tabletop exercise; establish supervisory authority contact procedure  |  🔴 Critical  |  Medium</w:t>
      </w:r>
    </w:p>
    <w:p>
      <w:r>
        <w:rPr>
          <w:sz w:val="20"/>
        </w:rPr>
        <w:t xml:space="preserve">PCI DSS Compliance  |  Payment processors detected via code scan  |  PCI DSS SAQ completed; tokenization verified; no raw card data stored  |  Complete PCI DSS Self-Assessment Questionnaire; verify tokenization implementation  |  🔴 Critical  |  High</w:t>
      </w:r>
    </w:p>
    <w:p>
      <w:r>
        <w:rPr>
          <w:sz w:val="20"/>
        </w:rPr>
        <w:t xml:space="preserve">Privacy Notice (Art. 13/14)  |  Privacy Policy generated from code scan  |  Complete privacy notice published on website, covering all data processing activities  |  Review placeholders and publish to website  |  🟠 High  |  Low</w:t>
      </w:r>
    </w:p>
    <w:p>
      <w:r>
        <w:rPr>
          <w:sz w:val="20"/>
        </w:rPr>
        <w:t xml:space="preserve">Record of Processing Activities (Art. 30)  |  6 services detected via code scan  |  Complete ROPA covering all processing activities with lawful bases  |  Review auto-generated ROPA; add manual processing activities not captured by code scan  |  🟠 High  |  Medium</w:t>
      </w:r>
    </w:p>
    <w:p>
      <w:r>
        <w:rPr>
          <w:sz w:val="20"/>
        </w:rPr>
        <w:t xml:space="preserve">Data Protection Officer (Art. 37)  |  No DPO configured  |  DPO appointed and registered with supervisory authority  |  Appoint DPO or document exemption rationale  |  🟠 High  |  Medium</w:t>
      </w:r>
    </w:p>
    <w:p>
      <w:r>
        <w:rPr>
          <w:sz w:val="20"/>
        </w:rPr>
        <w:t xml:space="preserve">Right to Erasure (Art. 17)  |  Data deletion procedures documented  |  Automated data deletion across all services with verification  |  Implement automated deletion workflows; verify completeness across sub-processors  |  🟠 High  |  High</w:t>
      </w:r>
    </w:p>
    <w:p>
      <w:r>
        <w:rPr>
          <w:sz w:val="20"/>
        </w:rPr>
        <w:t xml:space="preserve">Processor Agreements (Art. 28)  |  6 third-party services detected  |  Signed DPAs with all sub-processors; annual review process  |  Obtain signed DPAs from all 6 detected sub-processors  |  🟠 High  |  Medium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GDPR</w:t>
      </w:r>
    </w:p>
    <w:p>
      <w:r>
        <w:t xml:space="preserve">7 gaps identified (2 critical, 5 high)</w:t>
      </w:r>
    </w:p>
    <w:p>
      <w:pPr>
        <w:pStyle w:val="ListParagraph"/>
        <w:numPr>
          <w:ilvl w:val="0"/>
          <w:numId w:val="1"/>
        </w:numPr>
      </w:pPr>
      <w:r>
        <w:t xml:space="preserve">🔴 **Data Protection Impact Assessment (Art. 35)**: Conduct formal DPIA with risk assessment and DPO consultation *(Effort: High)*</w:t>
      </w:r>
    </w:p>
    <w:p>
      <w:pPr>
        <w:pStyle w:val="ListParagraph"/>
        <w:numPr>
          <w:ilvl w:val="0"/>
          <w:numId w:val="1"/>
        </w:numPr>
      </w:pPr>
      <w:r>
        <w:t xml:space="preserve">🔴 **Breach Notification (Art. 33/34)**: Conduct tabletop exercise; establish supervisory authority contact procedure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**Privacy Notice (Art. 13/14)**: Review placeholders and publish to website *(Effort: Low)*</w:t>
      </w:r>
    </w:p>
    <w:p>
      <w:pPr>
        <w:pStyle w:val="ListParagraph"/>
        <w:numPr>
          <w:ilvl w:val="0"/>
          <w:numId w:val="1"/>
        </w:numPr>
      </w:pPr>
      <w:r>
        <w:t xml:space="preserve">🟠 **Record of Processing Activities (Art. 30)**: Review auto-generated ROPA; add manual processing activities not captured by code scan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**Data Protection Officer (Art. 37)**: Appoint DPO or document exemption rationale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**Right to Erasure (Art. 17)**: Implement automated deletion workflows; verify completeness across sub-processors *(Effort: High)*</w:t>
      </w:r>
    </w:p>
    <w:p>
      <w:pPr>
        <w:pStyle w:val="ListParagraph"/>
        <w:numPr>
          <w:ilvl w:val="0"/>
          <w:numId w:val="1"/>
        </w:numPr>
      </w:pPr>
      <w:r>
        <w:t xml:space="preserve">🟠 **Processor Agreements (Art. 28)**: Obtain signed DPAs from all 6 detected sub-processors *(Effort: Medium)*</w:t>
      </w:r>
    </w:p>
    <w:p>
      <w:pPr>
        <w:pStyle w:val="Heading3"/>
      </w:pPr>
      <w:r>
        <w:t>PCI DSS</w:t>
      </w:r>
    </w:p>
    <w:p>
      <w:r>
        <w:t xml:space="preserve">1 gaps identified (1 critical, 0 high)</w:t>
      </w:r>
    </w:p>
    <w:p>
      <w:pPr>
        <w:pStyle w:val="ListParagraph"/>
        <w:numPr>
          <w:ilvl w:val="0"/>
          <w:numId w:val="1"/>
        </w:numPr>
      </w:pPr>
      <w:r>
        <w:t xml:space="preserve">🔴 **PCI DSS Compliance**: Complete PCI DSS Self-Assessment Questionnaire; verify tokenization implementation *(Effort: High)*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**Data Protection Impact Assessment (Art. 35)** (GDPR): Conduct formal DPIA with risk assessment and DPO consultation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 (Art. 33/34)** (GDPR): Conduct tabletop exercise; establish supervisory authority contact procedure</w:t>
      </w:r>
    </w:p>
    <w:p>
      <w:pPr>
        <w:pStyle w:val="ListParagraph"/>
        <w:numPr>
          <w:ilvl w:val="0"/>
          <w:numId w:val="1"/>
        </w:numPr>
      </w:pPr>
      <w:r>
        <w:t xml:space="preserve">[ ] **PCI DSS Compliance** (PCI DSS): Complete PCI DSS Self-Assessment Questionnaire; verify tokenization implementation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**Privacy Notice (Art. 13/14)** (GDPR): Review placeholders and publish to website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 (Art. 30)** (GDPR): Review auto-generated ROPA; add manual processing activities not captured by code scan</w:t>
      </w:r>
    </w:p>
    <w:p>
      <w:pPr>
        <w:pStyle w:val="ListParagraph"/>
        <w:numPr>
          <w:ilvl w:val="0"/>
          <w:numId w:val="1"/>
        </w:numPr>
      </w:pPr>
      <w:r>
        <w:t xml:space="preserve">[ ] **Data Protection Officer (Art. 37)** (GDPR): Appoint DPO or document exemption rationale</w:t>
      </w:r>
    </w:p>
    <w:p>
      <w:pPr>
        <w:pStyle w:val="ListParagraph"/>
        <w:numPr>
          <w:ilvl w:val="0"/>
          <w:numId w:val="1"/>
        </w:numPr>
      </w:pPr>
      <w:r>
        <w:t xml:space="preserve">[ ] **Right to Erasure (Art. 17)** (GDPR): Implement automated deletion workflows; verify completeness across sub-processors</w:t>
      </w:r>
    </w:p>
    <w:p>
      <w:pPr>
        <w:pStyle w:val="ListParagraph"/>
        <w:numPr>
          <w:ilvl w:val="0"/>
          <w:numId w:val="1"/>
        </w:numPr>
      </w:pPr>
      <w:r>
        <w:t xml:space="preserve">[ ] **Processor Agreements (Art. 28)** (GDPR): Obtain signed DPAs from all 6 detected sub-processors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