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6</w:t>
      </w:r>
    </w:p>
    <w:p>
      <w:r>
        <w:t xml:space="preserve">Applicable Annex A domains: Technological Controls (A.8), Organizational Controls (A.5),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boto3  |  File Storage  |  Technological Controls (A.8), Organizational Controls (A.5)</w:t>
      </w:r>
    </w:p>
    <w:p>
      <w:r>
        <w:rPr>
          <w:sz w:val="20"/>
        </w:rPr>
        <w:t xml:space="preserve">Django Channels  |  Other  |  General</w:t>
      </w:r>
    </w:p>
    <w:p>
      <w:r>
        <w:rPr>
          <w:sz w:val="20"/>
        </w:rPr>
        <w:t xml:space="preserve">django-admin  |  Authentication  |  Organizational Controls (A.5), Technological Controls (A.8)</w:t>
      </w:r>
    </w:p>
    <w:p>
      <w:r>
        <w:rPr>
          <w:sz w:val="20"/>
        </w:rPr>
        <w:t xml:space="preserve">django-sessions  |  Authentication  |  Organizational Controls (A.5), Technological Controls (A.8)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django-admin, django-sessions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redis, boto3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boto3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