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SOC 2 Type II Readiness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SOC 2 Type II readiness. It is not a substitute for a formal SOC 2 audit or professional guidance. Engage a qualified CPA firm for your official SOC 2 examination.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a SOC 2 Type II audit by mapping detected services and infrastructure to the five Trust Services Criteria (TSC). Each section contains actionable items tailored to your project's technology stack.</w:t>
      </w:r>
    </w:p>
    <w:p>
      <w:r>
        <w:t xml:space="preserve">Detected services: 6</w:t>
      </w:r>
    </w:p>
    <w:p>
      <w:r>
        <w:t xml:space="preserve">Relevant SOC 2 sections: Confidentiality (C1), Security (CC6), Processing Integrity (PI1), Availability (A1)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SOC 2 Trust Services Criteria:</w:t>
      </w:r>
    </w:p>
    <w:p>
      <w:r>
        <w:rPr>
          <w:sz w:val="20"/>
        </w:rPr>
        <w:t xml:space="preserve">Detected Service  |  Category  |  Mapped SOC 2 Controls</w:t>
      </w:r>
    </w:p>
    <w:p>
      <w:r>
        <w:rPr>
          <w:sz w:val="20"/>
        </w:rPr>
        <w:t xml:space="preserve">boto3  |  File Storage  |  Confidentiality (C1), Security (CC6)</w:t>
      </w:r>
    </w:p>
    <w:p>
      <w:r>
        <w:rPr>
          <w:sz w:val="20"/>
        </w:rPr>
        <w:t xml:space="preserve">Django Channels  |  Other  |  General</w:t>
      </w:r>
    </w:p>
    <w:p>
      <w:r>
        <w:rPr>
          <w:sz w:val="20"/>
        </w:rPr>
        <w:t xml:space="preserve">django-admin  |  Authentication  |  Security (CC6)</w:t>
      </w:r>
    </w:p>
    <w:p>
      <w:r>
        <w:rPr>
          <w:sz w:val="20"/>
        </w:rPr>
        <w:t xml:space="preserve">django-sessions  |  Authentication  |  Security (CC6)</w:t>
      </w:r>
    </w:p>
    <w:p>
      <w:r>
        <w:rPr>
          <w:sz w:val="20"/>
        </w:rPr>
        <w:t xml:space="preserve">redis  |  Database  |  Confidentiality (C1), Security (CC6)</w:t>
      </w:r>
    </w:p>
    <w:p>
      <w:r>
        <w:rPr>
          <w:sz w:val="20"/>
        </w:rPr>
        <w:t xml:space="preserve">stripe  |  Payment Processing  |  Confidentiality (C1), Security (CC6), Processing Integrity (PI1)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Readiness Checklist</w:t>
      </w:r>
    </w:p>
    <w:p>
      <w:pPr>
        <w:pStyle w:val="Heading3"/>
      </w:pPr>
      <w:r>
        <w:t>Security (CC6) — Common Criteria for Security</w:t>
      </w:r>
    </w:p>
    <w:p>
      <w:r>
        <w:t xml:space="preserve">Objective: Information and systems are protected against unauthorized access, unauthorized disclosure of information, and damage to systems.</w:t>
      </w:r>
    </w:p>
    <w:p>
      <w:pPr>
        <w:pStyle w:val="Heading4"/>
      </w:pPr>
      <w:r>
        <w:t>CC6.1 — Logical and Physical Access Controls</w:t>
      </w:r>
    </w:p>
    <w:p>
      <w:pPr>
        <w:pStyle w:val="ListParagraph"/>
        <w:numPr>
          <w:ilvl w:val="0"/>
          <w:numId w:val="1"/>
        </w:numPr>
      </w:pPr>
      <w:r>
        <w:t xml:space="preserve">[ ] Implement role-based access control (RBAC) for all systems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 configuration for: django-admin, django-sessions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user accounts</w:t>
      </w:r>
    </w:p>
    <w:p>
      <w:pPr>
        <w:pStyle w:val="ListParagraph"/>
        <w:numPr>
          <w:ilvl w:val="0"/>
          <w:numId w:val="1"/>
        </w:numPr>
      </w:pPr>
      <w:r>
        <w:t xml:space="preserve">[ ] Implement session timeout and automatic logout policies</w:t>
      </w:r>
    </w:p>
    <w:p>
      <w:pPr>
        <w:pStyle w:val="ListParagraph"/>
        <w:numPr>
          <w:ilvl w:val="0"/>
          <w:numId w:val="1"/>
        </w:numPr>
      </w:pPr>
      <w:r>
        <w:t xml:space="preserve">[ ] Document authentication flows and access provisioning/deprovisioning procedures</w:t>
      </w:r>
    </w:p>
    <w:p>
      <w:pPr>
        <w:pStyle w:val="ListParagraph"/>
        <w:numPr>
          <w:ilvl w:val="0"/>
          <w:numId w:val="1"/>
        </w:numPr>
      </w:pPr>
      <w:r>
        <w:t xml:space="preserve">[ ] Maintain an access control matrix documenting who has access to what</w:t>
      </w:r>
    </w:p>
    <w:p>
      <w:pPr>
        <w:pStyle w:val="ListParagraph"/>
        <w:numPr>
          <w:ilvl w:val="0"/>
          <w:numId w:val="1"/>
        </w:numPr>
      </w:pPr>
      <w:r>
        <w:t xml:space="preserve">[ ] Review and recertify user access quarterly</w:t>
      </w:r>
    </w:p>
    <w:p>
      <w:pPr>
        <w:pStyle w:val="ListParagraph"/>
        <w:numPr>
          <w:ilvl w:val="0"/>
          <w:numId w:val="1"/>
        </w:numPr>
      </w:pPr>
      <w:r>
        <w:t xml:space="preserve">[ ] Log all access events and authentication attempts</w:t>
      </w:r>
    </w:p>
    <w:p>
      <w:pPr>
        <w:pStyle w:val="Heading4"/>
      </w:pPr>
      <w:r>
        <w:t>CC6.6 — Encryption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boto3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CC6.8 — Vulnerability Management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Document and track all identified vulnerabilities to resolution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Availability (A1) — Availability for Operations</w:t>
      </w:r>
    </w:p>
    <w:p>
      <w:r>
        <w:t xml:space="preserve">Objective: The system is available for operation and use as committed or agreed.</w:t>
      </w:r>
    </w:p>
    <w:p>
      <w:pPr>
        <w:pStyle w:val="Heading4"/>
      </w:pPr>
      <w:r>
        <w:t>A1.1 — Uptime Monitoring and SLA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monitoring and alerting (e.g., Sentry, Datadog, PagerDuty)</w:t>
      </w:r>
    </w:p>
    <w:p>
      <w:pPr>
        <w:pStyle w:val="ListParagraph"/>
        <w:numPr>
          <w:ilvl w:val="0"/>
          <w:numId w:val="1"/>
        </w:numPr>
      </w:pPr>
      <w:r>
        <w:t xml:space="preserve">[ ] Define uptime SLA targets (e.g., 99.9% availability)</w:t>
      </w:r>
    </w:p>
    <w:p>
      <w:pPr>
        <w:pStyle w:val="ListParagraph"/>
        <w:numPr>
          <w:ilvl w:val="0"/>
          <w:numId w:val="1"/>
        </w:numPr>
      </w:pPr>
      <w:r>
        <w:t xml:space="preserve">[ ] Set up real-time health check endpoints</w:t>
      </w:r>
    </w:p>
    <w:p>
      <w:pPr>
        <w:pStyle w:val="Heading4"/>
      </w:pPr>
      <w:r>
        <w:t>A1.2 — Disaster Recovery and Business Continuity</w:t>
      </w:r>
    </w:p>
    <w:p>
      <w:pPr>
        <w:pStyle w:val="ListParagraph"/>
        <w:numPr>
          <w:ilvl w:val="0"/>
          <w:numId w:val="1"/>
        </w:numPr>
      </w:pPr>
      <w:r>
        <w:t xml:space="preserve">[ ] Document a Disaster Recovery Plan (DRP) with defined RTO and RPO</w:t>
      </w:r>
    </w:p>
    <w:p>
      <w:pPr>
        <w:pStyle w:val="ListParagraph"/>
        <w:numPr>
          <w:ilvl w:val="0"/>
          <w:numId w:val="1"/>
        </w:numPr>
      </w:pPr>
      <w:r>
        <w:t xml:space="preserve">[ ] 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[ ] Maintain automated backups with documented retention schedule</w:t>
      </w:r>
    </w:p>
    <w:p>
      <w:pPr>
        <w:pStyle w:val="ListParagraph"/>
        <w:numPr>
          <w:ilvl w:val="0"/>
          <w:numId w:val="1"/>
        </w:numPr>
      </w:pPr>
      <w:r>
        <w:t xml:space="preserve">[ ] Define and test failover procedures for critical systems</w:t>
      </w:r>
    </w:p>
    <w:p>
      <w:pPr>
        <w:pStyle w:val="ListParagraph"/>
        <w:numPr>
          <w:ilvl w:val="0"/>
          <w:numId w:val="1"/>
        </w:numPr>
      </w:pPr>
      <w:r>
        <w:t xml:space="preserve">[ ] Document business continuity procedures for extended outages</w:t>
      </w:r>
    </w:p>
    <w:p>
      <w:pPr>
        <w:pStyle w:val="ListParagraph"/>
        <w:numPr>
          <w:ilvl w:val="0"/>
          <w:numId w:val="1"/>
        </w:numPr>
      </w:pPr>
      <w:r>
        <w:t xml:space="preserve">[ ] Maintain an up-to-date system architecture diagram</w:t>
      </w:r>
    </w:p>
    <w:p>
      <w:pPr>
        <w:pStyle w:val="Heading4"/>
      </w:pPr>
      <w:r>
        <w:t>A1.3 — Capacity Planning</w:t>
      </w:r>
    </w:p>
    <w:p>
      <w:pPr>
        <w:pStyle w:val="ListParagraph"/>
        <w:numPr>
          <w:ilvl w:val="0"/>
          <w:numId w:val="1"/>
        </w:numPr>
      </w:pPr>
      <w:r>
        <w:t xml:space="preserve">[ ] Monitor resource utilization (CPU, memory, storage, network)</w:t>
      </w:r>
    </w:p>
    <w:p>
      <w:pPr>
        <w:pStyle w:val="ListParagraph"/>
        <w:numPr>
          <w:ilvl w:val="0"/>
          <w:numId w:val="1"/>
        </w:numPr>
      </w:pPr>
      <w:r>
        <w:t xml:space="preserve">[ ] Set capacity threshold alerts (e.g., 80% utilization triggers review)</w:t>
      </w:r>
    </w:p>
    <w:p>
      <w:pPr>
        <w:pStyle w:val="ListParagraph"/>
        <w:numPr>
          <w:ilvl w:val="0"/>
          <w:numId w:val="1"/>
        </w:numPr>
      </w:pPr>
      <w:r>
        <w:t xml:space="preserve">[ ] Document scaling procedures (horizontal and vertical)</w:t>
      </w:r>
    </w:p>
    <w:p>
      <w:pPr>
        <w:pStyle w:val="ListParagraph"/>
        <w:numPr>
          <w:ilvl w:val="0"/>
          <w:numId w:val="1"/>
        </w:numPr>
      </w:pPr>
      <w:r>
        <w:t xml:space="preserve">[ ] Review capacity plans quarterly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Processing Integrity (PI1) — System Processing is Complete, Valid, Accurate, and Timely</w:t>
      </w:r>
    </w:p>
    <w:p>
      <w:r>
        <w:t xml:space="preserve">Objective: System processing is complete, valid, accurate, timely, and authorized.</w:t>
      </w:r>
    </w:p>
    <w:p>
      <w:pPr>
        <w:pStyle w:val="Heading4"/>
      </w:pPr>
      <w:r>
        <w:t>PI1.1 — Data Validation and Error Handling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user-facing endpoints</w:t>
      </w:r>
    </w:p>
    <w:p>
      <w:pPr>
        <w:pStyle w:val="ListParagraph"/>
        <w:numPr>
          <w:ilvl w:val="0"/>
          <w:numId w:val="1"/>
        </w:numPr>
      </w:pPr>
      <w:r>
        <w:t xml:space="preserve">[ ] Use schema validation for API request and response payloads</w:t>
      </w:r>
    </w:p>
    <w:p>
      <w:pPr>
        <w:pStyle w:val="ListParagraph"/>
        <w:numPr>
          <w:ilvl w:val="0"/>
          <w:numId w:val="1"/>
        </w:numPr>
      </w:pPr>
      <w:r>
        <w:t xml:space="preserve">[ ] Log and alert on data validation failures</w:t>
      </w:r>
    </w:p>
    <w:p>
      <w:pPr>
        <w:pStyle w:val="ListParagraph"/>
        <w:numPr>
          <w:ilvl w:val="0"/>
          <w:numId w:val="1"/>
        </w:numPr>
      </w:pPr>
      <w:r>
        <w:t xml:space="preserve">[ ] Implement idempotency controls for payment transactions via: stripe</w:t>
      </w:r>
    </w:p>
    <w:p>
      <w:pPr>
        <w:pStyle w:val="ListParagraph"/>
        <w:numPr>
          <w:ilvl w:val="0"/>
          <w:numId w:val="1"/>
        </w:numPr>
      </w:pPr>
      <w:r>
        <w:t xml:space="preserve">[ ] Validate transaction amounts and currency codes before processing</w:t>
      </w:r>
    </w:p>
    <w:p>
      <w:pPr>
        <w:pStyle w:val="ListParagraph"/>
        <w:numPr>
          <w:ilvl w:val="0"/>
          <w:numId w:val="1"/>
        </w:numPr>
      </w:pPr>
      <w:r>
        <w:t xml:space="preserve">[ ] Reconcile payment records daily</w:t>
      </w:r>
    </w:p>
    <w:p>
      <w:pPr>
        <w:pStyle w:val="Heading4"/>
      </w:pPr>
      <w:r>
        <w:t>PI1.2 — Error Handling and Exception Management</w:t>
      </w:r>
    </w:p>
    <w:p>
      <w:pPr>
        <w:pStyle w:val="ListParagraph"/>
        <w:numPr>
          <w:ilvl w:val="0"/>
          <w:numId w:val="1"/>
        </w:numPr>
      </w:pPr>
      <w:r>
        <w:t xml:space="preserve">[ ] Implement structured error handling across all application layers</w:t>
      </w:r>
    </w:p>
    <w:p>
      <w:pPr>
        <w:pStyle w:val="ListParagraph"/>
        <w:numPr>
          <w:ilvl w:val="0"/>
          <w:numId w:val="1"/>
        </w:numPr>
      </w:pPr>
      <w:r>
        <w:t xml:space="preserve">[ ] Log all unhandled exceptions with sufficient context for investigation</w:t>
      </w:r>
    </w:p>
    <w:p>
      <w:pPr>
        <w:pStyle w:val="ListParagraph"/>
        <w:numPr>
          <w:ilvl w:val="0"/>
          <w:numId w:val="1"/>
        </w:numPr>
      </w:pPr>
      <w:r>
        <w:t xml:space="preserve">[ ] Define error severity levels and corresponding response procedures</w:t>
      </w:r>
    </w:p>
    <w:p>
      <w:pPr>
        <w:pStyle w:val="ListParagraph"/>
        <w:numPr>
          <w:ilvl w:val="0"/>
          <w:numId w:val="1"/>
        </w:numPr>
      </w:pPr>
      <w:r>
        <w:t xml:space="preserve">[ ] Monitor error rates and set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Implement graceful degradation for non-critical service failures</w:t>
      </w:r>
    </w:p>
    <w:p>
      <w:pPr>
        <w:pStyle w:val="Heading4"/>
      </w:pPr>
      <w:r>
        <w:t>PI1.3 — Change Management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Maintain a change log or release notes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testing in CI/CD pipelines</w:t>
      </w:r>
    </w:p>
    <w:p>
      <w:pPr>
        <w:pStyle w:val="ListParagraph"/>
        <w:numPr>
          <w:ilvl w:val="0"/>
          <w:numId w:val="1"/>
        </w:numPr>
      </w:pPr>
      <w:r>
        <w:t xml:space="preserve">[ ] Document rollback procedures for production deployments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Confidentiality (C1) — Protection of Confidential Information</w:t>
      </w:r>
    </w:p>
    <w:p>
      <w:r>
        <w:t xml:space="preserve">Objective: Information designated as confidential is protected as committed or agreed.</w:t>
      </w:r>
    </w:p>
    <w:p>
      <w:pPr>
        <w:pStyle w:val="Heading4"/>
      </w:pPr>
      <w:r>
        <w:t>C1.1 — Data Classification</w:t>
      </w:r>
    </w:p>
    <w:p>
      <w:pPr>
        <w:pStyle w:val="ListParagraph"/>
        <w:numPr>
          <w:ilvl w:val="0"/>
          <w:numId w:val="1"/>
        </w:numPr>
      </w:pPr>
      <w:r>
        <w:t xml:space="preserve">[ ] Define a data classification policy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Classify all data stores and label them according to policy</w:t>
      </w:r>
    </w:p>
    <w:p>
      <w:pPr>
        <w:pStyle w:val="ListParagraph"/>
        <w:numPr>
          <w:ilvl w:val="0"/>
          <w:numId w:val="1"/>
        </w:numPr>
      </w:pPr>
      <w:r>
        <w:t xml:space="preserve">[ ] Train employees on data handling procedures for each classification level</w:t>
      </w:r>
    </w:p>
    <w:p>
      <w:pPr>
        <w:pStyle w:val="ListParagraph"/>
        <w:numPr>
          <w:ilvl w:val="0"/>
          <w:numId w:val="1"/>
        </w:numPr>
      </w:pPr>
      <w:r>
        <w:t xml:space="preserve">[ ] Review data classifications annually or when new data types are introduced</w:t>
      </w:r>
    </w:p>
    <w:p>
      <w:pPr>
        <w:pStyle w:val="Heading4"/>
      </w:pPr>
      <w:r>
        <w:t>C1.2 — Encryption at Rest</w:t>
      </w:r>
    </w:p>
    <w:p>
      <w:pPr>
        <w:pStyle w:val="ListParagraph"/>
        <w:numPr>
          <w:ilvl w:val="0"/>
          <w:numId w:val="1"/>
        </w:numPr>
      </w:pPr>
      <w:r>
        <w:t xml:space="preserve">[ ] Enable transparent data encryption (TDE) or equivalent for: redis</w:t>
      </w:r>
    </w:p>
    <w:p>
      <w:pPr>
        <w:pStyle w:val="ListParagraph"/>
        <w:numPr>
          <w:ilvl w:val="0"/>
          <w:numId w:val="1"/>
        </w:numPr>
      </w:pPr>
      <w:r>
        <w:t xml:space="preserve">[ ] Enable server-side encryption for: boto3</w:t>
      </w:r>
    </w:p>
    <w:p>
      <w:pPr>
        <w:pStyle w:val="ListParagraph"/>
        <w:numPr>
          <w:ilvl w:val="0"/>
          <w:numId w:val="1"/>
        </w:numPr>
      </w:pPr>
      <w:r>
        <w:t xml:space="preserve">[ ] Encrypt all backups at rest</w:t>
      </w:r>
    </w:p>
    <w:p>
      <w:pPr>
        <w:pStyle w:val="ListParagraph"/>
        <w:numPr>
          <w:ilvl w:val="0"/>
          <w:numId w:val="1"/>
        </w:numPr>
      </w:pPr>
      <w:r>
        <w:t xml:space="preserve">[ ] Document which encryption algorithms and key lengths are in use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Heading4"/>
      </w:pPr>
      <w:r>
        <w:t>C1.3 — Encryption in Transit</w:t>
      </w:r>
    </w:p>
    <w:p>
      <w:pPr>
        <w:pStyle w:val="ListParagraph"/>
        <w:numPr>
          <w:ilvl w:val="0"/>
          <w:numId w:val="1"/>
        </w:numPr>
      </w:pPr>
      <w:r>
        <w:t xml:space="preserve">[ ] Enforce HTTPS/TLS for all external communications</w:t>
      </w:r>
    </w:p>
    <w:p>
      <w:pPr>
        <w:pStyle w:val="ListParagraph"/>
        <w:numPr>
          <w:ilvl w:val="0"/>
          <w:numId w:val="1"/>
        </w:numPr>
      </w:pPr>
      <w:r>
        <w:t xml:space="preserve">[ ] Use TLS for internal service-to-service communication where feasible</w:t>
      </w:r>
    </w:p>
    <w:p>
      <w:pPr>
        <w:pStyle w:val="ListParagraph"/>
        <w:numPr>
          <w:ilvl w:val="0"/>
          <w:numId w:val="1"/>
        </w:numPr>
      </w:pPr>
      <w:r>
        <w:t xml:space="preserve">[ ] Disable deprecated TLS versions (TLS 1.0, 1.1)</w:t>
      </w:r>
    </w:p>
    <w:p>
      <w:pPr>
        <w:pStyle w:val="ListParagraph"/>
        <w:numPr>
          <w:ilvl w:val="0"/>
          <w:numId w:val="1"/>
        </w:numPr>
      </w:pPr>
      <w:r>
        <w:t xml:space="preserve">[ ] Monitor certificate expiration and automate renewal</w:t>
      </w:r>
    </w:p>
    <w:p>
      <w:pPr>
        <w:pStyle w:val="Heading4"/>
      </w:pPr>
      <w:r>
        <w:t>C1.4 — PCI DSS Alignment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scope and complete SAQ (Self-Assessment Questionnaire)</w:t>
      </w:r>
    </w:p>
    <w:p>
      <w:pPr>
        <w:pStyle w:val="ListParagraph"/>
        <w:numPr>
          <w:ilvl w:val="0"/>
          <w:numId w:val="1"/>
        </w:numPr>
      </w:pPr>
      <w:r>
        <w:t xml:space="preserve">[ ] Never store raw credit card numbers — use tokenization via payment processor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documentation and evidence</w:t>
      </w:r>
    </w:p>
    <w:p>
      <w:pPr>
        <w:pStyle w:val="ListParagraph"/>
        <w:numPr>
          <w:ilvl w:val="0"/>
          <w:numId w:val="1"/>
        </w:numPr>
      </w:pPr>
      <w:r>
        <w:t xml:space="preserve">[ ] Conduct quarterly ASV (Approved Scanning Vendor) scans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Recommended Audit Timeline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Assessment**  |  2-4 weeks  |  Identify gaps between current state and SOC 2 requirements</w:t>
      </w:r>
    </w:p>
    <w:p>
      <w:r>
        <w:rPr>
          <w:sz w:val="20"/>
        </w:rPr>
        <w:t xml:space="preserve">**Remediation**  |  4-12 weeks  |  Implement missing controls and document procedures</w:t>
      </w:r>
    </w:p>
    <w:p>
      <w:r>
        <w:rPr>
          <w:sz w:val="20"/>
        </w:rPr>
        <w:t xml:space="preserve">**Evidence Collection**  |  Ongoing (6-12 months)  |  Collect evidence of controls operating effectively over the audit period</w:t>
      </w:r>
    </w:p>
    <w:p>
      <w:r>
        <w:rPr>
          <w:sz w:val="20"/>
        </w:rPr>
        <w:t xml:space="preserve">**Readiness Assessment**  |  2-4 weeks  |  Internal review to verify all controls are in place and operating</w:t>
      </w:r>
    </w:p>
    <w:p>
      <w:r>
        <w:rPr>
          <w:sz w:val="20"/>
        </w:rPr>
        <w:t xml:space="preserve">**Type II Audit**  |  4-8 weeks  |  External auditor examines controls over a minimum 6-month observation period</w:t>
      </w:r>
    </w:p>
    <w:p>
      <w:r>
        <w:rPr>
          <w:sz w:val="20"/>
        </w:rPr>
        <w:t xml:space="preserve">**Report Issuance**  |  2-4 weeks  |  CPA firm issues the SOC 2 Type II report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Evidence Collection Guide</w:t>
      </w:r>
    </w:p>
    <w:p>
      <w:r>
        <w:t xml:space="preserve">For each control area, collect and maintain the following evidence artifacts for your SOC 2 Type II audit:</w:t>
      </w:r>
    </w:p>
    <w:p>
      <w:pPr>
        <w:pStyle w:val="Heading3"/>
      </w:pPr>
      <w:r>
        <w:t>Security (CC6)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Access control matrix  |  Document of who has access to each system  |  Quarterly review</w:t>
      </w:r>
    </w:p>
    <w:p>
      <w:r>
        <w:rPr>
          <w:sz w:val="20"/>
        </w:rPr>
        <w:t xml:space="preserve">MFA enrollment report  |  Proof that MFA is enabled for all users  |  Monthly snapshot</w:t>
      </w:r>
    </w:p>
    <w:p>
      <w:r>
        <w:rPr>
          <w:sz w:val="20"/>
        </w:rPr>
        <w:t xml:space="preserve">Penetration test report  |  Results from external penetration testing  |  Annually</w:t>
      </w:r>
    </w:p>
    <w:p>
      <w:r>
        <w:rPr>
          <w:sz w:val="20"/>
        </w:rPr>
        <w:t xml:space="preserve">Vulnerability scan results  |  Automated scan output showing remediation  |  Monthly</w:t>
      </w:r>
    </w:p>
    <w:p>
      <w:r>
        <w:rPr>
          <w:sz w:val="20"/>
        </w:rPr>
        <w:t xml:space="preserve">Encryption configuration  |  Screenshots/configs showing encryption settings  |  On change</w:t>
      </w:r>
    </w:p>
    <w:p>
      <w:r>
        <w:rPr>
          <w:sz w:val="20"/>
        </w:rPr>
        <w:t xml:space="preserve">Access review records  |  Logs of quarterly access recertification  |  Quarterly</w:t>
      </w:r>
    </w:p>
    <w:p>
      <w:pPr>
        <w:pStyle w:val="Heading3"/>
      </w:pPr>
      <w:r>
        <w:t>Availability (A1)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Uptime reports  |  SLA monitoring dashboard exports  |  Monthly</w:t>
      </w:r>
    </w:p>
    <w:p>
      <w:r>
        <w:rPr>
          <w:sz w:val="20"/>
        </w:rPr>
        <w:t xml:space="preserve">Incident post-mortems  |  Root cause analysis for each outage  |  Per incident</w:t>
      </w:r>
    </w:p>
    <w:p>
      <w:r>
        <w:rPr>
          <w:sz w:val="20"/>
        </w:rPr>
        <w:t xml:space="preserve">DR test results  |  Documentation of disaster recovery tests  |  Annually</w:t>
      </w:r>
    </w:p>
    <w:p>
      <w:r>
        <w:rPr>
          <w:sz w:val="20"/>
        </w:rPr>
        <w:t xml:space="preserve">Backup verification logs  |  Proof that backups complete and are restorable  |  Monthly</w:t>
      </w:r>
    </w:p>
    <w:p>
      <w:r>
        <w:rPr>
          <w:sz w:val="20"/>
        </w:rPr>
        <w:t xml:space="preserve">Capacity planning reviews  |  Resource utilization reports and forecasts  |  Quarterly</w:t>
      </w:r>
    </w:p>
    <w:p>
      <w:pPr>
        <w:pStyle w:val="Heading3"/>
      </w:pPr>
      <w:r>
        <w:t>Processing Integrity (PI1)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CI/CD pipeline configs  |  Build and deployment pipeline definitions  |  On change</w:t>
      </w:r>
    </w:p>
    <w:p>
      <w:r>
        <w:rPr>
          <w:sz w:val="20"/>
        </w:rPr>
        <w:t xml:space="preserve">Code review records  |  Pull request approvals and review comments  |  Per change</w:t>
      </w:r>
    </w:p>
    <w:p>
      <w:r>
        <w:rPr>
          <w:sz w:val="20"/>
        </w:rPr>
        <w:t xml:space="preserve">Test coverage reports  |  Automated test results and coverage metrics  |  Per build</w:t>
      </w:r>
    </w:p>
    <w:p>
      <w:r>
        <w:rPr>
          <w:sz w:val="20"/>
        </w:rPr>
        <w:t xml:space="preserve">Change management log  |  Record of all production changes  |  Continuous</w:t>
      </w:r>
    </w:p>
    <w:p>
      <w:r>
        <w:rPr>
          <w:sz w:val="20"/>
        </w:rPr>
        <w:t xml:space="preserve">Error rate dashboards  |  Application error monitoring summaries  |  Monthly</w:t>
      </w:r>
    </w:p>
    <w:p>
      <w:pPr>
        <w:pStyle w:val="Heading3"/>
      </w:pPr>
      <w:r>
        <w:t>Confidentiality (C1)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Data classification inventory  |  Catalog of data stores with classifications  |  Annually</w:t>
      </w:r>
    </w:p>
    <w:p>
      <w:r>
        <w:rPr>
          <w:sz w:val="20"/>
        </w:rPr>
        <w:t xml:space="preserve">Encryption audit  |  Verification of encryption at rest and in transit  |  Quarterly</w:t>
      </w:r>
    </w:p>
    <w:p>
      <w:r>
        <w:rPr>
          <w:sz w:val="20"/>
        </w:rPr>
        <w:t xml:space="preserve">Key management procedures  |  Documentation of key rotation and storage  |  On change</w:t>
      </w:r>
    </w:p>
    <w:p>
      <w:r>
        <w:rPr>
          <w:sz w:val="20"/>
        </w:rPr>
        <w:t xml:space="preserve">DPA agreements  |  Signed Data Processing Agreements with vendors  |  On onboarding</w:t>
      </w:r>
    </w:p>
    <w:p>
      <w:r>
        <w:rPr>
          <w:sz w:val="20"/>
        </w:rPr>
        <w:t xml:space="preserve">PCI SAQ (if applicable)  |  Completed PCI Self-Assessment Questionnaire  |  Annually</w:t>
      </w:r>
    </w:p>
    <w:p>
      <w:pPr>
        <w:pStyle w:val="Heading3"/>
      </w:pPr>
      <w:r>
        <w:t>Privacy (P1-P8)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Privacy Policy  |  Published privacy notice  |  On change</w:t>
      </w:r>
    </w:p>
    <w:p>
      <w:r>
        <w:rPr>
          <w:sz w:val="20"/>
        </w:rPr>
        <w:t xml:space="preserve">Consent records  |  Logs of user consent with timestamps  |  Continuous</w:t>
      </w:r>
    </w:p>
    <w:p>
      <w:r>
        <w:rPr>
          <w:sz w:val="20"/>
        </w:rPr>
        <w:t xml:space="preserve">ROPA  |  Record of Processing Activities  |  Annually</w:t>
      </w:r>
    </w:p>
    <w:p>
      <w:r>
        <w:rPr>
          <w:sz w:val="20"/>
        </w:rPr>
        <w:t xml:space="preserve">DSAR response logs  |  Records of data subject access requests handled  |  Per request</w:t>
      </w:r>
    </w:p>
    <w:p>
      <w:r>
        <w:rPr>
          <w:sz w:val="20"/>
        </w:rPr>
        <w:t xml:space="preserve">Privacy impact assessments  |  PIA reports for new features or changes  |  Per project</w:t>
      </w:r>
    </w:p>
    <w:p>
      <w:r>
        <w:rPr>
          <w:sz w:val="20"/>
        </w:rPr>
        <w:t xml:space="preserve">Employee training records  |  Proof of privacy training completion  |  Annually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**Assign an owner** for each control area listed above.</w:t>
      </w:r>
    </w:p>
    <w:p>
      <w:pPr>
        <w:pStyle w:val="ListParagraph"/>
        <w:numPr>
          <w:ilvl w:val="0"/>
          <w:numId w:val="2"/>
        </w:numPr>
      </w:pPr>
      <w:r>
        <w:t xml:space="preserve">**Conduct a gap assessment** comparing your current controls to this checklist.</w:t>
      </w:r>
    </w:p>
    <w:p>
      <w:pPr>
        <w:pStyle w:val="ListParagraph"/>
        <w:numPr>
          <w:ilvl w:val="0"/>
          <w:numId w:val="2"/>
        </w:numPr>
      </w:pPr>
      <w:r>
        <w:t xml:space="preserve">**Prioritize remediation** starting with Security (CC6) and Availability (A1).</w:t>
      </w:r>
    </w:p>
    <w:p>
      <w:pPr>
        <w:pStyle w:val="ListParagraph"/>
        <w:numPr>
          <w:ilvl w:val="0"/>
          <w:numId w:val="2"/>
        </w:numPr>
      </w:pPr>
      <w:r>
        <w:t xml:space="preserve">**Begin evidence collection** immediately — SOC 2 Type II requires evidence over a 6-12 month observation period.</w:t>
      </w:r>
    </w:p>
    <w:p>
      <w:pPr>
        <w:pStyle w:val="ListParagraph"/>
        <w:numPr>
          <w:ilvl w:val="0"/>
          <w:numId w:val="2"/>
        </w:numPr>
      </w:pPr>
      <w:r>
        <w:t xml:space="preserve">**Engage an auditor**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SOC 2 Readiness Checklist was generated by [Codepliant](https://github.com/joechensmartz/codepliant) based on automated code analysis. It should be reviewed by a qualified professional before use in audit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