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saleor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🟢  |  **CCPA**  |  Low Exposure  |  No California jurisdiction and no advertising/analytics tracking detected.</w:t>
      </w:r>
    </w:p>
    <w:p>
      <w:r>
        <w:rPr>
          <w:sz w:val="20"/>
        </w:rPr>
        <w:t xml:space="preserve">🟢  |  **EU AI Act**  |  Not Applicable  |  No AI services detected in the codebase.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6</w:t>
      </w:r>
    </w:p>
    <w:p>
      <w:r>
        <w:rPr>
          <w:sz w:val="20"/>
        </w:rPr>
        <w:t xml:space="preserve">Data Categories Collected  |  8</w:t>
      </w:r>
    </w:p>
    <w:p>
      <w:r>
        <w:rPr>
          <w:sz w:val="20"/>
        </w:rPr>
        <w:t xml:space="preserve">Regulations: Action Required  |  2</w:t>
      </w:r>
    </w:p>
    <w:p>
      <w:r>
        <w:rPr>
          <w:sz w:val="20"/>
        </w:rPr>
        <w:t xml:space="preserve">Regulations: Compliant  |  3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6 third-party data processors increase attack surface. Each processor represents a potential breach vector.</w:t>
      </w:r>
    </w:p>
    <w:p>
      <w:r>
        <w:rPr>
          <w:sz w:val="20"/>
        </w:rPr>
        <w:t xml:space="preserve">2  |  **Third-Party Vendor Concentration Risk**  |  $500K-$5M average cost of vendor-related breach  |  6 vendors create supply chain risk. One vendor breach can cascade.</w:t>
      </w:r>
    </w:p>
    <w:p>
      <w:r>
        <w:rPr>
          <w:sz w:val="20"/>
        </w:rPr>
        <w:t xml:space="preserve">3  |  **Payment Data Exposure**  |  $50K-$500K per PCI DSS non-compliance incident  |  Payment processing services detected. PCI DSS compliance validation required.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2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