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6</w:t>
      </w:r>
    </w:p>
    <w:p>
      <w:r>
        <w:rPr>
          <w:sz w:val="20"/>
        </w:rPr>
        <w:t xml:space="preserve">Service categories  |  storage, other, auth, database, payment</w:t>
      </w:r>
    </w:p>
    <w:p>
      <w:r>
        <w:rPr>
          <w:sz w:val="20"/>
        </w:rPr>
        <w:t xml:space="preserve">DPA agreements in place  |  [N] / 6</w:t>
      </w:r>
    </w:p>
    <w:p>
      <w:r>
        <w:rPr>
          <w:sz w:val="20"/>
        </w:rPr>
        <w:t xml:space="preserve">Vendor security reviews completed  |  [N] / 6</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