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saleor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Postgresql  |  Transparent Data Encryption (TDE) or filesystem-level encryption  |  Enable TDE or use encrypted storage volumes (e  |  Cloud KMS (AWS KMS, GCP KMS, Azure Key Vault)</w:t>
      </w:r>
    </w:p>
    <w:p>
      <w:r>
        <w:rPr>
          <w:sz w:val="20"/>
        </w:rPr>
        <w:t xml:space="preserve">Redis  |  No native encryption at rest  |  Use encrypted storage volumes  |  Cloud KMS for volume encryption</w:t>
      </w:r>
    </w:p>
    <w:p>
      <w:r>
        <w:rPr>
          <w:sz w:val="20"/>
        </w:rPr>
        <w:t xml:space="preserve">boto3 (Storage)  |  AES-256 server-side encryption (SSE-S3, SSE-KMS, or SSE-C for AWS S3  |  Cloud-managed keys  |  Cloud-managed or CMEK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5.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saleor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