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6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boto3  |  storage  |  **P1**  |  **P2**  |  uploaded files, file metadata  |  GDPR Art. 33/34 if PII stored</w:t>
      </w:r>
    </w:p>
    <w:p>
      <w:r>
        <w:rPr>
          <w:sz w:val="20"/>
        </w:rPr>
        <w:t xml:space="preserve">Django Channels  |  other  |  **P2**  |  **P3**  |  real-time user data, connection metadata, channel group data  |  Assess per data processed</w:t>
      </w:r>
    </w:p>
    <w:p>
      <w:r>
        <w:rPr>
          <w:sz w:val="20"/>
        </w:rPr>
        <w:t xml:space="preserve">django-admin  |  auth  |  **P0**  |  **P1**  |  admin panel access, staff user accounts  |  GDPR Art. 33/34, credential breach notification</w:t>
      </w:r>
    </w:p>
    <w:p>
      <w:r>
        <w:rPr>
          <w:sz w:val="20"/>
        </w:rPr>
        <w:t xml:space="preserve">django-sessions  |  auth  |  **P0**  |  **P1**  |  session cookies, CSRF tokens  |  GDPR Art. 33/34, credential breach notification</w:t>
      </w:r>
    </w:p>
    <w:p>
      <w:r>
        <w:rPr>
          <w:sz w:val="20"/>
        </w:rPr>
        <w:t xml:space="preserve">redis  |  database  |  **P0**  |  **P1**  |  cached data, session data  |  GDPR Art. 33/34, data breach notification</w:t>
      </w:r>
    </w:p>
    <w:p>
      <w:r>
        <w:rPr>
          <w:sz w:val="20"/>
        </w:rPr>
        <w:t xml:space="preserve">stripe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saleor codebase (6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