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3</w:t>
      </w:r>
    </w:p>
    <w:p>
      <w:r>
        <w:rPr>
          <w:sz w:val="20"/>
        </w:rPr>
        <w:t xml:space="preserve">🟠 High  |  3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**8**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RISK-003  |  GDPR non-compliance  |  regulatory  |  3 (Possible)  |  5 (Critical)  |  15  |  🔴 Critical</w:t>
      </w:r>
    </w:p>
    <w:p>
      <w:r>
        <w:rPr>
          <w:sz w:val="20"/>
        </w:rPr>
        <w:t xml:space="preserve">RISK-008  |  Missing required compliance documents  |  regulatory  |  5 (Almost Certain)  |  3 (Moderate)  |  15  |  🔴 Critical</w:t>
      </w:r>
    </w:p>
    <w:p>
      <w:r>
        <w:rPr>
          <w:sz w:val="20"/>
        </w:rPr>
        <w:t xml:space="preserve">RISK-005  |  AI data leakage  |  ai-specific  |  3 (Possible)  |  4 (Major)  |  12  |  🟠 High</w:t>
      </w:r>
    </w:p>
    <w:p>
      <w:r>
        <w:rPr>
          <w:sz w:val="20"/>
        </w:rPr>
        <w:t xml:space="preserve">RISK-006  |  EU AI Act non-compliance  |  ai-specific  |  3 (Possible)  |  4 (Major)  |  12  |  🟠 High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r>
        <w:rPr>
          <w:sz w:val="20"/>
        </w:rPr>
        <w:t xml:space="preserve">RISK-007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drizzle, ioredis, passport, passport-google-oauth20, passport-microsoft, redis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@ai-sdk/anthropic, @ai-sdk/google, @ai-sdk/openai, @aws-sdk/client-s3, @sentry/node, @vercel/ai, drizzle, googleapis, ioredis, nodemailer, openai, passport, passport-google-oauth20, passport-microsoft, redis,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RISK-008: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4 required compliance document(s) identified but not yet generated: Privacy Policy, AI Disclosure, Cookie Policy,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RISK-005: AI data leakage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services may process user data through external APIs. Data sent to AI models could be used for training or exposed through model outputs.</w:t>
      </w:r>
    </w:p>
    <w:p>
      <w:r>
        <w:t xml:space="preserve">Related Services: @ai-sdk/anthropic, @ai-sdk/google, @ai-sdk/openai, @vercel/ai, 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Review AI provider data processing terms and opt out of training</w:t>
      </w:r>
    </w:p>
    <w:p>
      <w:pPr>
        <w:pStyle w:val="ListParagraph"/>
        <w:numPr>
          <w:ilvl w:val="0"/>
          <w:numId w:val="1"/>
        </w:numPr>
      </w:pPr>
      <w:r>
        <w:t xml:space="preserve">[ ] Implement input sanitization before sending data to AI APIs</w:t>
      </w:r>
    </w:p>
    <w:p>
      <w:pPr>
        <w:pStyle w:val="ListParagraph"/>
        <w:numPr>
          <w:ilvl w:val="0"/>
          <w:numId w:val="1"/>
        </w:numPr>
      </w:pPr>
      <w:r>
        <w:t xml:space="preserve">[ ] Log all data sent to and received from AI services</w:t>
      </w:r>
    </w:p>
    <w:p>
      <w:pPr>
        <w:pStyle w:val="ListParagraph"/>
        <w:numPr>
          <w:ilvl w:val="0"/>
          <w:numId w:val="1"/>
        </w:numPr>
      </w:pPr>
      <w:r>
        <w:t xml:space="preserve">[ ] Implement PII detection and redaction before AI processing</w:t>
      </w:r>
    </w:p>
    <w:p>
      <w:pPr>
        <w:pStyle w:val="ListParagraph"/>
        <w:numPr>
          <w:ilvl w:val="0"/>
          <w:numId w:val="1"/>
        </w:numPr>
      </w:pPr>
      <w:r>
        <w:t xml:space="preserve">[ ] Disclose AI usage in privacy policy and terms of service</w:t>
      </w:r>
    </w:p>
    <w:p>
      <w:pPr>
        <w:pStyle w:val="Heading3"/>
      </w:pPr>
      <w:r>
        <w:t>RISK-006: EU AI Act non-compliance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systems may fall under EU AI Act requirements. High-risk AI systems require conformity assessments, registration, and ongoing monitoring.</w:t>
      </w:r>
    </w:p>
    <w:p>
      <w:r>
        <w:t xml:space="preserve">Related Services: @ai-sdk/anthropic, @ai-sdk/google, @ai-sdk/openai, @vercel/ai, 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(minimal/limited/high/unacceptable)</w:t>
      </w:r>
    </w:p>
    <w:p>
      <w:pPr>
        <w:pStyle w:val="ListParagraph"/>
        <w:numPr>
          <w:ilvl w:val="0"/>
          <w:numId w:val="1"/>
        </w:numPr>
      </w:pPr>
      <w:r>
        <w:t xml:space="preserve">[ ] Document AI system purpose, capabilities, and limitations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mechanisms for high-risk AI</w:t>
      </w:r>
    </w:p>
    <w:p>
      <w:pPr>
        <w:pStyle w:val="ListParagraph"/>
        <w:numPr>
          <w:ilvl w:val="0"/>
          <w:numId w:val="1"/>
        </w:numPr>
      </w:pPr>
      <w:r>
        <w:t xml:space="preserve">[ ] Maintain technical documentation per AI Act Article 11</w:t>
      </w:r>
    </w:p>
    <w:p>
      <w:pPr>
        <w:pStyle w:val="ListParagraph"/>
        <w:numPr>
          <w:ilvl w:val="0"/>
          <w:numId w:val="1"/>
        </w:numPr>
      </w:pPr>
      <w:r>
        <w:t xml:space="preserve">[ ] Register high-risk AI systems in the EU database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16 third-party services detected. Each vendor introduces potential data handling, availability, and compliance risks.</w:t>
      </w:r>
    </w:p>
    <w:p>
      <w:r>
        <w:t xml:space="preserve">Related Services: @ai-sdk/anthropic, @ai-sdk/google, @ai-sdk/openai, @aws-sdk/client-s3, @sentry/node, @vercel/ai, drizzle, googleapis, ioredis, nodemailer, openai, passport, passport-google-oauth20, passport-microsoft, redis,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RISK-007: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nodemailer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