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Calendar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twenty</w:t>
      </w:r>
    </w:p>
    <w:p>
      <w:pPr>
        <w:pBdr>
          <w:bottom w:val="single" w:sz="6" w:space="1" w:color="999999"/>
        </w:pBdr>
      </w:pPr>
    </w:p>
    <w:p>
      <w:r>
        <w:t xml:space="preserve">This document provides a 12-month calendar view of all compliance activities for twenty, auto-populated based on 16 detected service(s) and applicable regulations.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obligations and deadlines for your specific situation.</w:t>
      </w:r>
    </w:p>
    <w:p>
      <w:pPr>
        <w:pStyle w:val="Heading2"/>
      </w:pPr>
      <w:r>
        <w:t>1. Applicable Regulations</w:t>
      </w:r>
    </w:p>
    <w:p>
      <w:r>
        <w:t xml:space="preserve">Based on your project configuration and detected services, the following regulations inform this calendar: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**EU AI Act** — Regulation (EU) 2024/1689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 v4.0.1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Cookie consent and electronic communications</w:t>
      </w:r>
    </w:p>
    <w:p>
      <w:pPr>
        <w:pStyle w:val="ListParagraph"/>
        <w:numPr>
          <w:ilvl w:val="0"/>
          <w:numId w:val="1"/>
        </w:numPr>
      </w:pPr>
      <w:r>
        <w:t xml:space="preserve">**CAN-SPAM Act** — US commercial email requirements</w:t>
      </w:r>
    </w:p>
    <w:p>
      <w:pPr>
        <w:pStyle w:val="Heading2"/>
      </w:pPr>
      <w:r>
        <w:t>2. Monthly Calendar</w:t>
      </w:r>
    </w:p>
    <w:p>
      <w:pPr>
        <w:pStyle w:val="Heading3"/>
      </w:pPr>
      <w:r>
        <w:t>January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(H1)</w:t>
      </w:r>
    </w:p>
    <w:p>
      <w:pPr>
        <w:pStyle w:val="ListParagraph"/>
        <w:numPr>
          <w:ilvl w:val="0"/>
          <w:numId w:val="1"/>
        </w:numPr>
      </w:pPr>
      <w:r>
        <w:t xml:space="preserve">[ ] AI system risk re-assessment (H1)</w:t>
      </w:r>
    </w:p>
    <w:p>
      <w:pPr>
        <w:pStyle w:val="ListParagraph"/>
        <w:numPr>
          <w:ilvl w:val="0"/>
          <w:numId w:val="1"/>
        </w:numPr>
      </w:pPr>
      <w:r>
        <w:t xml:space="preserve">[ ] Review regulatory landscape for new obligations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Full privacy policy review and update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PCI DSS annual Self-Assessment Questionnaire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Annual compliance summary report</w:t>
      </w:r>
    </w:p>
    <w:p>
      <w:pPr>
        <w:pStyle w:val="Heading3"/>
      </w:pPr>
      <w:r>
        <w:t>February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employee privacy notice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Staff data protection training refresh</w:t>
      </w:r>
    </w:p>
    <w:p>
      <w:pPr>
        <w:pStyle w:val="Heading3"/>
      </w:pPr>
      <w:r>
        <w:t>March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Annual vendor and sub-processor review</w:t>
      </w:r>
    </w:p>
    <w:p>
      <w:pPr>
        <w:pStyle w:val="ListParagraph"/>
        <w:numPr>
          <w:ilvl w:val="0"/>
          <w:numId w:val="1"/>
        </w:numPr>
      </w:pPr>
      <w:r>
        <w:t xml:space="preserve">[ ] Review data backup and disaster recovery procedures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</w:t>
      </w:r>
    </w:p>
    <w:p>
      <w:pPr>
        <w:pStyle w:val="Heading3"/>
      </w:pPr>
      <w:r>
        <w:t>April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Q1 compliance metrics report</w:t>
      </w:r>
    </w:p>
    <w:p>
      <w:pPr>
        <w:pStyle w:val="Heading3"/>
      </w:pPr>
      <w:r>
        <w:t>May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and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for all personal data stores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Purge data past retention period</w:t>
      </w:r>
    </w:p>
    <w:p>
      <w:pPr>
        <w:pStyle w:val="Heading3"/>
      </w:pPr>
      <w:r>
        <w:t>June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controls and authentication policies</w:t>
      </w:r>
    </w:p>
    <w:p>
      <w:pPr>
        <w:pStyle w:val="ListParagraph"/>
        <w:numPr>
          <w:ilvl w:val="0"/>
          <w:numId w:val="1"/>
        </w:numPr>
      </w:pPr>
      <w:r>
        <w:t xml:space="preserve">[ ] Audit authentication session lengths and token lifetimes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Rotate API keys and service credentials</w:t>
      </w:r>
    </w:p>
    <w:p>
      <w:pPr>
        <w:pStyle w:val="Heading3"/>
      </w:pPr>
      <w:r>
        <w:t>July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(H2)</w:t>
      </w:r>
    </w:p>
    <w:p>
      <w:pPr>
        <w:pStyle w:val="ListParagraph"/>
        <w:numPr>
          <w:ilvl w:val="0"/>
          <w:numId w:val="1"/>
        </w:numPr>
      </w:pPr>
      <w:r>
        <w:t xml:space="preserve">[ ] AI system risk re-assessment (H2)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Mid-year compliance status report</w:t>
      </w:r>
    </w:p>
    <w:p>
      <w:pPr>
        <w:pStyle w:val="Heading3"/>
      </w:pPr>
      <w:r>
        <w:t>August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document for EU AI Act compliance</w:t>
      </w:r>
    </w:p>
    <w:p>
      <w:pPr>
        <w:pStyle w:val="ListParagraph"/>
        <w:numPr>
          <w:ilvl w:val="0"/>
          <w:numId w:val="1"/>
        </w:numPr>
      </w:pPr>
      <w:r>
        <w:t xml:space="preserve">[ ] Verify AI-generated content marking is operational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AI Model Card and transparency documentation</w:t>
      </w:r>
    </w:p>
    <w:p>
      <w:pPr>
        <w:pStyle w:val="Heading3"/>
      </w:pPr>
      <w:r>
        <w:t>September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Conduct data breach response drill</w:t>
      </w:r>
    </w:p>
    <w:p>
      <w:pPr>
        <w:pStyle w:val="ListParagraph"/>
        <w:numPr>
          <w:ilvl w:val="0"/>
          <w:numId w:val="1"/>
        </w:numPr>
      </w:pPr>
      <w:r>
        <w:t xml:space="preserve">[ ] Review email marketing consent records (CAN-SPAM / GDPR)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incident response plan and communication templates</w:t>
      </w:r>
    </w:p>
    <w:p>
      <w:pPr>
        <w:pStyle w:val="Heading3"/>
      </w:pPr>
      <w:r>
        <w:t>October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international data transfer safeguards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(GDPR Art. 30)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Q3 compliance metrics report</w:t>
      </w:r>
    </w:p>
    <w:p>
      <w:pPr>
        <w:pStyle w:val="Heading3"/>
      </w:pPr>
      <w:r>
        <w:t>November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Pre-audit preparation and gap analysis</w:t>
      </w:r>
    </w:p>
    <w:p>
      <w:pPr>
        <w:pStyle w:val="ListParagraph"/>
        <w:numPr>
          <w:ilvl w:val="0"/>
          <w:numId w:val="1"/>
        </w:numPr>
      </w:pPr>
      <w:r>
        <w:t xml:space="preserve">[ ] Review third-party risk assessments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compliance roadmap for next year</w:t>
      </w:r>
    </w:p>
    <w:p>
      <w:pPr>
        <w:pStyle w:val="Heading3"/>
      </w:pPr>
      <w:r>
        <w:t>December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Verify all annual compliance tasks are complete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Archive compliance records for the year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Annual compliance review report for board/leadership</w:t>
      </w:r>
    </w:p>
    <w:p>
      <w:pPr>
        <w:pStyle w:val="Heading2"/>
      </w:pPr>
      <w:r>
        <w:t>3. Annual Summary</w:t>
      </w:r>
    </w:p>
    <w:p>
      <w:r>
        <w:rPr>
          <w:sz w:val="20"/>
        </w:rPr>
        <w:t xml:space="preserve">Month  |  Review  |  Update  |  Report</w:t>
      </w:r>
    </w:p>
    <w:p>
      <w:r>
        <w:rPr>
          <w:sz w:val="20"/>
        </w:rPr>
        <w:t xml:space="preserve">January  |  10 items  |  3 items  |  2 items</w:t>
      </w:r>
    </w:p>
    <w:p>
      <w:r>
        <w:rPr>
          <w:sz w:val="20"/>
        </w:rPr>
        <w:t xml:space="preserve">February  |  4 items  |  1 items  |  0 items</w:t>
      </w:r>
    </w:p>
    <w:p>
      <w:r>
        <w:rPr>
          <w:sz w:val="20"/>
        </w:rPr>
        <w:t xml:space="preserve">March  |  5 items  |  1 items  |  0 items</w:t>
      </w:r>
    </w:p>
    <w:p>
      <w:r>
        <w:rPr>
          <w:sz w:val="20"/>
        </w:rPr>
        <w:t xml:space="preserve">April  |  7 items  |  0 items  |  2 items</w:t>
      </w:r>
    </w:p>
    <w:p>
      <w:r>
        <w:rPr>
          <w:sz w:val="20"/>
        </w:rPr>
        <w:t xml:space="preserve">May  |  5 items  |  1 items  |  0 items</w:t>
      </w:r>
    </w:p>
    <w:p>
      <w:r>
        <w:rPr>
          <w:sz w:val="20"/>
        </w:rPr>
        <w:t xml:space="preserve">June  |  5 items  |  1 items  |  0 items</w:t>
      </w:r>
    </w:p>
    <w:p>
      <w:r>
        <w:rPr>
          <w:sz w:val="20"/>
        </w:rPr>
        <w:t xml:space="preserve">July  |  9 items  |  1 items  |  2 items</w:t>
      </w:r>
    </w:p>
    <w:p>
      <w:r>
        <w:rPr>
          <w:sz w:val="20"/>
        </w:rPr>
        <w:t xml:space="preserve">August  |  5 items  |  1 items  |  0 items</w:t>
      </w:r>
    </w:p>
    <w:p>
      <w:r>
        <w:rPr>
          <w:sz w:val="20"/>
        </w:rPr>
        <w:t xml:space="preserve">September  |  5 items  |  1 items  |  0 items</w:t>
      </w:r>
    </w:p>
    <w:p>
      <w:r>
        <w:rPr>
          <w:sz w:val="20"/>
        </w:rPr>
        <w:t xml:space="preserve">October  |  8 items  |  1 items  |  2 items</w:t>
      </w:r>
    </w:p>
    <w:p>
      <w:r>
        <w:rPr>
          <w:sz w:val="20"/>
        </w:rPr>
        <w:t xml:space="preserve">November  |  5 items  |  1 items  |  0 items</w:t>
      </w:r>
    </w:p>
    <w:p>
      <w:r>
        <w:rPr>
          <w:sz w:val="20"/>
        </w:rPr>
        <w:t xml:space="preserve">December  |  4 items  |  1 items  |  1 items</w:t>
      </w:r>
    </w:p>
    <w:p>
      <w:r>
        <w:rPr>
          <w:sz w:val="20"/>
        </w:rPr>
        <w:t xml:space="preserve">**Total**  |  **72 items**  |  **13 items**  |  **9 items**</w:t>
      </w:r>
    </w:p>
    <w:p>
      <w:pPr>
        <w:pStyle w:val="Heading2"/>
      </w:pPr>
      <w:r>
        <w:t>4. Service-Specific Compliance Activities</w:t>
      </w:r>
    </w:p>
    <w:p>
      <w:r>
        <w:t xml:space="preserve">The following activities are included in the calendar based on detected services:</w:t>
      </w:r>
    </w:p>
    <w:p>
      <w:pPr>
        <w:pStyle w:val="Heading3"/>
      </w:pPr>
      <w:r>
        <w:t>AI Services (@ai-sdk/anthropic, @ai-sdk/google, @ai-sdk/openai, @vercel/ai, openai)</w:t>
      </w:r>
    </w:p>
    <w:p>
      <w:pPr>
        <w:pStyle w:val="ListParagraph"/>
        <w:numPr>
          <w:ilvl w:val="0"/>
          <w:numId w:val="1"/>
        </w:numPr>
      </w:pPr>
      <w:r>
        <w:t xml:space="preserve">Semi-annual AI risk re-assessment (Jan, Jul)</w:t>
      </w:r>
    </w:p>
    <w:p>
      <w:pPr>
        <w:pStyle w:val="ListParagraph"/>
        <w:numPr>
          <w:ilvl w:val="0"/>
          <w:numId w:val="1"/>
        </w:numPr>
      </w:pPr>
      <w:r>
        <w:t xml:space="preserve">Annual AI Disclosure and Model Card review (Aug)</w:t>
      </w:r>
    </w:p>
    <w:p>
      <w:pPr>
        <w:pStyle w:val="ListParagraph"/>
        <w:numPr>
          <w:ilvl w:val="0"/>
          <w:numId w:val="1"/>
        </w:numPr>
      </w:pPr>
      <w:r>
        <w:t xml:space="preserve">Ongoing AI-generated content marking verification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Annual PCI DSS Self-Assessment (Jan)</w:t>
      </w:r>
    </w:p>
    <w:p>
      <w:pPr>
        <w:pStyle w:val="ListParagraph"/>
        <w:numPr>
          <w:ilvl w:val="0"/>
          <w:numId w:val="1"/>
        </w:numPr>
      </w:pPr>
      <w:r>
        <w:t xml:space="preserve">Quarterly vulnerability scans (Jan, Apr, Jul, Oct)</w:t>
      </w:r>
    </w:p>
    <w:p>
      <w:pPr>
        <w:pStyle w:val="Heading3"/>
      </w:pPr>
      <w:r>
        <w:t>Authentication Services (passport, passport-google-oauth20, passport-microsoft)</w:t>
      </w:r>
    </w:p>
    <w:p>
      <w:pPr>
        <w:pStyle w:val="ListParagraph"/>
        <w:numPr>
          <w:ilvl w:val="0"/>
          <w:numId w:val="1"/>
        </w:numPr>
      </w:pPr>
      <w:r>
        <w:t xml:space="preserve">Semi-annual access control audit (Jun)</w:t>
      </w:r>
    </w:p>
    <w:p>
      <w:pPr>
        <w:pStyle w:val="ListParagraph"/>
        <w:numPr>
          <w:ilvl w:val="0"/>
          <w:numId w:val="1"/>
        </w:numPr>
      </w:pPr>
      <w:r>
        <w:t xml:space="preserve">Token and session lifetime review (Jun)</w:t>
      </w:r>
    </w:p>
    <w:p>
      <w:pPr>
        <w:pStyle w:val="Heading3"/>
      </w:pPr>
      <w:r>
        <w:t>Email Services (nodemailer)</w:t>
      </w:r>
    </w:p>
    <w:p>
      <w:pPr>
        <w:pStyle w:val="ListParagraph"/>
        <w:numPr>
          <w:ilvl w:val="0"/>
          <w:numId w:val="1"/>
        </w:numPr>
      </w:pPr>
      <w:r>
        <w:t xml:space="preserve">Annual consent record review (Sep)</w:t>
      </w:r>
    </w:p>
    <w:p>
      <w:pPr>
        <w:pStyle w:val="ListParagraph"/>
        <w:numPr>
          <w:ilvl w:val="0"/>
          <w:numId w:val="1"/>
        </w:numPr>
      </w:pPr>
      <w:r>
        <w:t xml:space="preserve">Unsubscribe mechanism verification (Sep)</w:t>
      </w:r>
    </w:p>
    <w:p>
      <w:pPr>
        <w:pStyle w:val="Heading3"/>
      </w:pPr>
      <w:r>
        <w:t>Storage / Database Services (@aws-sdk/client-s3, drizzle, ioredis, redis)</w:t>
      </w:r>
    </w:p>
    <w:p>
      <w:pPr>
        <w:pStyle w:val="ListParagraph"/>
        <w:numPr>
          <w:ilvl w:val="0"/>
          <w:numId w:val="1"/>
        </w:numPr>
      </w:pPr>
      <w:r>
        <w:t xml:space="preserve">Annual backup and DR review (Mar)</w:t>
      </w:r>
    </w:p>
    <w:p>
      <w:pPr>
        <w:pStyle w:val="ListParagraph"/>
        <w:numPr>
          <w:ilvl w:val="0"/>
          <w:numId w:val="1"/>
        </w:numPr>
      </w:pPr>
      <w:r>
        <w:t xml:space="preserve">Encryption verification (May)</w:t>
      </w:r>
    </w:p>
    <w:p>
      <w:pPr>
        <w:pStyle w:val="ListParagraph"/>
        <w:numPr>
          <w:ilvl w:val="0"/>
          <w:numId w:val="1"/>
        </w:numPr>
      </w:pPr>
      <w:r>
        <w:t xml:space="preserve">Data retention enforcement (May)</w:t>
      </w:r>
    </w:p>
    <w:p>
      <w:pPr>
        <w:pStyle w:val="Heading2"/>
      </w:pPr>
      <w:r>
        <w:t>5. Tips for Using This Calendar</w:t>
      </w:r>
    </w:p>
    <w:p>
      <w:pPr>
        <w:pStyle w:val="ListParagraph"/>
        <w:numPr>
          <w:ilvl w:val="0"/>
          <w:numId w:val="1"/>
        </w:numPr>
      </w:pPr>
      <w:r>
        <w:t xml:space="preserve">**Set reminders** — Import key dates into your team calendar (Google Calendar, Outlook, etc.)</w:t>
      </w:r>
    </w:p>
    <w:p>
      <w:pPr>
        <w:pStyle w:val="ListParagraph"/>
        <w:numPr>
          <w:ilvl w:val="0"/>
          <w:numId w:val="1"/>
        </w:numPr>
      </w:pPr>
      <w:r>
        <w:t xml:space="preserve">**Assign owners** — Each activity should have a named responsible person</w:t>
      </w:r>
    </w:p>
    <w:p>
      <w:pPr>
        <w:pStyle w:val="ListParagraph"/>
        <w:numPr>
          <w:ilvl w:val="0"/>
          <w:numId w:val="1"/>
        </w:numPr>
      </w:pPr>
      <w:r>
        <w:t xml:space="preserve">**Track completion** — Use the checkboxes above to track progress throughout the year</w:t>
      </w:r>
    </w:p>
    <w:p>
      <w:pPr>
        <w:pStyle w:val="ListParagraph"/>
        <w:numPr>
          <w:ilvl w:val="0"/>
          <w:numId w:val="1"/>
        </w:numPr>
      </w:pPr>
      <w:r>
        <w:t xml:space="preserve">**Re-generate** — Run Codepliant after adding or removing services to keep this calendar current</w:t>
      </w:r>
    </w:p>
    <w:p>
      <w:pPr>
        <w:pStyle w:val="ListParagraph"/>
        <w:numPr>
          <w:ilvl w:val="0"/>
          <w:numId w:val="1"/>
        </w:numPr>
      </w:pPr>
      <w:r>
        <w:t xml:space="preserve">**Adjust cadence** — Some activities may need higher frequency depending on your risk profile</w:t>
      </w:r>
    </w:p>
    <w:p>
      <w:pPr>
        <w:pBdr>
          <w:bottom w:val="single" w:sz="6" w:space="1" w:color="999999"/>
        </w:pBdr>
      </w:pPr>
    </w:p>
    <w:p>
      <w:r>
        <w:t xml:space="preserve">This compliance calendar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