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16</w:t>
      </w:r>
    </w:p>
    <w:p>
      <w:r>
        <w:rPr>
          <w:sz w:val="20"/>
        </w:rPr>
        <w:t xml:space="preserve">Documents Generated  |  114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5  |  @ai-sdk/anthropic, @ai-sdk/google, @ai-sdk/openai, @vercel/ai, openai</w:t>
      </w:r>
    </w:p>
    <w:p>
      <w:r>
        <w:rPr>
          <w:sz w:val="20"/>
        </w:rPr>
        <w:t xml:space="preserve">Auth  |  3  |  passport, passport-google-oauth20, passport-microsoft</w:t>
      </w:r>
    </w:p>
    <w:p>
      <w:r>
        <w:rPr>
          <w:sz w:val="20"/>
        </w:rPr>
        <w:t xml:space="preserve">Database  |  3  |  drizzle, ioredis, redis</w:t>
      </w:r>
    </w:p>
    <w:p>
      <w:r>
        <w:rPr>
          <w:sz w:val="20"/>
        </w:rPr>
        <w:t xml:space="preserve">Email  |  1  |  nodemailer</w:t>
      </w:r>
    </w:p>
    <w:p>
      <w:r>
        <w:rPr>
          <w:sz w:val="20"/>
        </w:rPr>
        <w:t xml:space="preserve">Monitoring  |  1  |  @sentry/node</w:t>
      </w:r>
    </w:p>
    <w:p>
      <w:r>
        <w:rPr>
          <w:sz w:val="20"/>
        </w:rPr>
        <w:t xml:space="preserve">Other  |  1  |  googleapis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1  |  @aws-sdk/client-s3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AI/ML services detected (@ai-sdk/anthropic, @ai-sdk/google, @ai-sdk/openai, @vercel/ai, openai). EU AI Act Art. 50 transparency obligations apply.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High service count (16). Review sub-processor agreements and data flows.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(@sentry/node).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EU AI Act Art. 50 compliance —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and AI Model Card for accuracy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AI_DISCLOSURE.md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