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Organization: [Your Company Name]</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**twenty**. Terms are sourced from GDPR, CCPA/CPRA, EU AI Act, SOC 2, ISO 27001, PCI DSS, HIPAA, and general data protection standards.</w:t>
      </w:r>
    </w:p>
    <w:p>
      <w:r>
        <w:t xml:space="preserve">59 terms defined based on 16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**BCP**  |  Business Continuity Plan  |  ISO 22301 / ISO 27001 A.17</w:t>
      </w:r>
    </w:p>
    <w:p>
      <w:r>
        <w:rPr>
          <w:sz w:val="20"/>
        </w:rPr>
        <w:t xml:space="preserve">**CCPA**  |  California Consumer Privacy Act  |  CCPA §1798.100-199</w:t>
      </w:r>
    </w:p>
    <w:p>
      <w:r>
        <w:rPr>
          <w:sz w:val="20"/>
        </w:rPr>
        <w:t xml:space="preserve">**CPRA**  |  California Privacy Rights Act  |  CPRA (Proposition 24)</w:t>
      </w:r>
    </w:p>
    <w:p>
      <w:r>
        <w:rPr>
          <w:sz w:val="20"/>
        </w:rPr>
        <w:t xml:space="preserve">**CDE**  |  Cardholder Data Environment  |  PCI DSS v4.0</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**DRP**  |  Disaster Recovery Plan  |  NIST SP 800-34 / ISO 27031</w:t>
      </w:r>
    </w:p>
    <w:p>
      <w:r>
        <w:rPr>
          <w:sz w:val="20"/>
        </w:rPr>
        <w:t xml:space="preserve">**DNS**  |  Do Not Sell or Share  |  CCPA §1798.120, CPRA</w:t>
      </w:r>
    </w:p>
    <w:p>
      <w:r>
        <w:rPr>
          <w:sz w:val="20"/>
        </w:rPr>
        <w:t xml:space="preserve">**EU AI Act**  |  EU Artificial Intelligence Act  |  EU AI Act (Regulation 2024/1689)</w:t>
      </w:r>
    </w:p>
    <w:p>
      <w:r>
        <w:rPr>
          <w:sz w:val="20"/>
        </w:rPr>
        <w:t xml:space="preserve">**HIPAA**  |  Health Insurance Portability and Accountability Act  |  HIPAA (45 CFR Parts 160, 164)</w:t>
      </w:r>
    </w:p>
    <w:p>
      <w:r>
        <w:rPr>
          <w:sz w:val="20"/>
        </w:rPr>
        <w:t xml:space="preserve">**HITL**  |  Human-in-the-Loop  |  EU AI Act Art. 14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**MFA**  |  Multi-Factor Authentication  |  NIST SP 800-63B</w:t>
      </w:r>
    </w:p>
    <w:p>
      <w:r>
        <w:rPr>
          <w:sz w:val="20"/>
        </w:rPr>
        <w:t xml:space="preserve">**PCI DSS**  |  Payment Card Industry Data Security Standard  |  PCI SSC, PCI DSS v4.0</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r>
        <w:rPr>
          <w:sz w:val="20"/>
        </w:rPr>
        <w:t xml:space="preserve">**ZTA**  |  Zero Trust Architecture  |  NIST SP 800-207</w:t>
      </w:r>
    </w:p>
    <w:p>
      <w:pPr>
        <w:pBdr>
          <w:bottom w:val="single" w:sz="6" w:space="1" w:color="999999"/>
        </w:pBdr>
      </w:pPr>
    </w:p>
    <w:p>
      <w:pPr>
        <w:pStyle w:val="Heading2"/>
      </w:pPr>
      <w:r>
        <w:t>Full Glossary</w:t>
      </w:r>
    </w:p>
    <w:p>
      <w:pPr>
        <w:pStyle w:val="Heading3"/>
      </w:pPr>
      <w:r>
        <w:t>A</w:t>
      </w:r>
    </w:p>
    <w:p>
      <w:r>
        <w:t xml:space="preserve">AI Model Card</w:t>
      </w:r>
    </w:p>
    <w:p>
      <w:pPr>
        <w:ind w:left="720"/>
      </w:pPr>
      <w:r>
        <w:rPr>
          <w:i/>
          <w:color w:val="666666"/>
        </w:rPr>
        <w:t xml:space="preserve">A standardized document describing an AI model's intended use, performance metrics, limitations, training data, and ethical considerations.</w:t>
      </w:r>
    </w:p>
    <w:p>
      <w:pPr>
        <w:ind w:left="720"/>
      </w:pPr>
      <w:r>
        <w:rPr>
          <w:i/>
          <w:color w:val="666666"/>
        </w:rPr>
        <w:t xml:space="preserve">*Source: EU AI Act Art. 53 / Mitchell et al. 2019*</w:t>
      </w:r>
    </w:p>
    <w:p>
      <w:r>
        <w:t xml:space="preserve">AI Risk Assessment</w:t>
      </w:r>
    </w:p>
    <w:p>
      <w:pPr>
        <w:ind w:left="720"/>
      </w:pPr>
      <w:r>
        <w:rPr>
          <w:i/>
          <w:color w:val="666666"/>
        </w:rPr>
        <w:t xml:space="preserve">A systematic evaluation of the potential risks and harms of an AI system to health, safety, and fundamental rights, including bias, discrimination, and privacy impacts.</w:t>
      </w:r>
    </w:p>
    <w:p>
      <w:pPr>
        <w:ind w:left="720"/>
      </w:pPr>
      <w:r>
        <w:rPr>
          <w:i/>
          <w:color w:val="666666"/>
        </w:rPr>
        <w:t xml:space="preserve">*Source: EU AI Act Art. 9*</w:t>
      </w:r>
    </w:p>
    <w:p>
      <w:r>
        <w:t xml:space="preserve">Algorithmic Transparency</w:t>
      </w:r>
    </w:p>
    <w:p>
      <w:pPr>
        <w:ind w:left="720"/>
      </w:pPr>
      <w:r>
        <w:rPr>
          <w:i/>
          <w:color w:val="666666"/>
        </w:rPr>
        <w:t xml:space="preserve">The principle that organizations should provide clear information about how automated decision-making systems work, what data they use, and how they reach their conclusions.</w:t>
      </w:r>
    </w:p>
    <w:p>
      <w:pPr>
        <w:ind w:left="720"/>
      </w:pPr>
      <w:r>
        <w:rPr>
          <w:i/>
          <w:color w:val="666666"/>
        </w:rPr>
        <w:t xml:space="preserve">*Source: EU AI Act Art. 13-14*</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r>
        <w:t xml:space="preserve">Business Continuity Plan (BCP)</w:t>
      </w:r>
    </w:p>
    <w:p>
      <w:pPr>
        <w:ind w:left="720"/>
      </w:pPr>
      <w:r>
        <w:rPr>
          <w:i/>
          <w:color w:val="666666"/>
        </w:rPr>
        <w:t xml:space="preserve">A documented plan that outlines how an organization will continue to operate during and after a significant disruption, including data recovery and service restoration.</w:t>
      </w:r>
    </w:p>
    <w:p>
      <w:pPr>
        <w:ind w:left="720"/>
      </w:pPr>
      <w:r>
        <w:rPr>
          <w:i/>
          <w:color w:val="666666"/>
        </w:rPr>
        <w:t xml:space="preserve">*Source: ISO 22301 / ISO 27001 A.17*</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Cardholder Data Environment (CDE)</w:t>
      </w:r>
    </w:p>
    <w:p>
      <w:pPr>
        <w:ind w:left="720"/>
      </w:pPr>
      <w:r>
        <w:rPr>
          <w:i/>
          <w:color w:val="666666"/>
        </w:rPr>
        <w:t xml:space="preserve">The network segment where payment card data is stored, processed, or transmitted, plus any connected systems that could affect its security.</w:t>
      </w:r>
    </w:p>
    <w:p>
      <w:pPr>
        <w:ind w:left="720"/>
      </w:pPr>
      <w:r>
        <w:rPr>
          <w:i/>
          <w:color w:val="666666"/>
        </w:rPr>
        <w:t xml:space="preserve">*Source: PCI DSS v4.0*</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Disaster Recovery Plan (DRP)</w:t>
      </w:r>
    </w:p>
    <w:p>
      <w:pPr>
        <w:ind w:left="720"/>
      </w:pPr>
      <w:r>
        <w:rPr>
          <w:i/>
          <w:color w:val="666666"/>
        </w:rPr>
        <w:t xml:space="preserve">A subset of business continuity planning focused specifically on restoring IT systems, data, and infrastructure after a major incident or disaster.</w:t>
      </w:r>
    </w:p>
    <w:p>
      <w:pPr>
        <w:ind w:left="720"/>
      </w:pPr>
      <w:r>
        <w:rPr>
          <w:i/>
          <w:color w:val="666666"/>
        </w:rPr>
        <w:t xml:space="preserve">*Source: NIST SP 800-34 / ISO 27031*</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r>
        <w:t xml:space="preserve">EU Artificial Intelligence Act (EU AI Act)</w:t>
      </w:r>
    </w:p>
    <w:p>
      <w:pPr>
        <w:ind w:left="720"/>
      </w:pPr>
      <w:r>
        <w:rPr>
          <w:i/>
          <w:color w:val="666666"/>
        </w:rPr>
        <w:t xml:space="preserve">The European Union regulation establishing a risk-based framework for AI systems, categorizing them into unacceptable, high, limited, and minimal risk tiers with corresponding obligations.</w:t>
      </w:r>
    </w:p>
    <w:p>
      <w:pPr>
        <w:ind w:left="720"/>
      </w:pPr>
      <w:r>
        <w:rPr>
          <w:i/>
          <w:color w:val="666666"/>
        </w:rPr>
        <w:t xml:space="preserve">*Source: EU AI Act (Regulation 2024/1689)*</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r>
        <w:t xml:space="preserve">High-Risk AI System</w:t>
      </w:r>
    </w:p>
    <w:p>
      <w:pPr>
        <w:ind w:left="720"/>
      </w:pPr>
      <w:r>
        <w:rPr>
          <w:i/>
          <w:color w:val="666666"/>
        </w:rPr>
        <w:t xml:space="preserve">An AI system used in areas such as biometrics, critical infrastructure, employment, credit scoring, or law enforcement that must meet strict requirements for risk management, data governance, transparency, and human oversight.</w:t>
      </w:r>
    </w:p>
    <w:p>
      <w:pPr>
        <w:ind w:left="720"/>
      </w:pPr>
      <w:r>
        <w:rPr>
          <w:i/>
          <w:color w:val="666666"/>
        </w:rPr>
        <w:t xml:space="preserve">*Source: EU AI Act Art. 6, Annex III*</w:t>
      </w:r>
    </w:p>
    <w:p>
      <w:r>
        <w:t xml:space="preserve">Human-in-the-Loop (HITL)</w:t>
      </w:r>
    </w:p>
    <w:p>
      <w:pPr>
        <w:ind w:left="720"/>
      </w:pPr>
      <w:r>
        <w:rPr>
          <w:i/>
          <w:color w:val="666666"/>
        </w:rPr>
        <w:t xml:space="preserve">A system design where human oversight is required before, during, or after an AI system's decision is applied, especially for high-risk AI systems.</w:t>
      </w:r>
    </w:p>
    <w:p>
      <w:pPr>
        <w:ind w:left="720"/>
      </w:pPr>
      <w:r>
        <w:rPr>
          <w:i/>
          <w:color w:val="666666"/>
        </w:rPr>
        <w:t xml:space="preserve">*Source: EU AI Act Art. 14*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M</w:t>
      </w:r>
    </w:p>
    <w:p>
      <w:r>
        <w:t xml:space="preserve">Multi-Factor Authentication (MFA)</w:t>
      </w:r>
    </w:p>
    <w:p>
      <w:pPr>
        <w:ind w:left="720"/>
      </w:pPr>
      <w:r>
        <w:rPr>
          <w:i/>
          <w:color w:val="666666"/>
        </w:rPr>
        <w:t xml:space="preserve">An authentication method requiring two or more independent verification factors: something you know (password), something you have (device), or something you are (biometric).</w:t>
      </w:r>
    </w:p>
    <w:p>
      <w:pPr>
        <w:ind w:left="720"/>
      </w:pPr>
      <w:r>
        <w:rPr>
          <w:i/>
          <w:color w:val="666666"/>
        </w:rPr>
        <w:t xml:space="preserve">*Source: NIST SP 800-63B*</w:t>
      </w:r>
    </w:p>
    <w:p>
      <w:pPr>
        <w:pStyle w:val="Heading3"/>
      </w:pPr>
      <w:r>
        <w:t>P</w:t>
      </w:r>
    </w:p>
    <w:p>
      <w:r>
        <w:t xml:space="preserve">Payment Card Industry Data Security Standard (PCI DSS)</w:t>
      </w:r>
    </w:p>
    <w:p>
      <w:pPr>
        <w:ind w:left="720"/>
      </w:pPr>
      <w:r>
        <w:rPr>
          <w:i/>
          <w:color w:val="666666"/>
        </w:rPr>
        <w:t xml:space="preserve">A set of security standards for organizations that handle credit card information, requiring secure network architecture, cardholder data protection, vulnerability management, access control, and monitoring.</w:t>
      </w:r>
    </w:p>
    <w:p>
      <w:pPr>
        <w:ind w:left="720"/>
      </w:pPr>
      <w:r>
        <w:rPr>
          <w:i/>
          <w:color w:val="666666"/>
        </w:rPr>
        <w:t xml:space="preserve">*Source: PCI SSC, PCI DSS v4.0*</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Tokenisation</w:t>
      </w:r>
    </w:p>
    <w:p>
      <w:pPr>
        <w:ind w:left="720"/>
      </w:pPr>
      <w:r>
        <w:rPr>
          <w:i/>
          <w:color w:val="666666"/>
        </w:rPr>
        <w:t xml:space="preserve">The process of substituting sensitive data (such as credit card numbers) with a non-sensitive equivalent (token) that has no exploitable value.</w:t>
      </w:r>
    </w:p>
    <w:p>
      <w:pPr>
        <w:ind w:left="720"/>
      </w:pPr>
      <w:r>
        <w:rPr>
          <w:i/>
          <w:color w:val="666666"/>
        </w:rPr>
        <w:t xml:space="preserve">*Source: PCI DSS / NIST*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Style w:val="Heading3"/>
      </w:pPr>
      <w:r>
        <w:t>Z</w:t>
      </w:r>
    </w:p>
    <w:p>
      <w:r>
        <w:t xml:space="preserve">Zero Trust Architecture (ZTA)</w:t>
      </w:r>
    </w:p>
    <w:p>
      <w:pPr>
        <w:ind w:left="720"/>
      </w:pPr>
      <w:r>
        <w:rPr>
          <w:i/>
          <w:color w:val="666666"/>
        </w:rPr>
        <w:t xml:space="preserve">A security model based on the principle 'never trust, always verify' where no user, device, or network is inherently trusted, and continuous verification is required.</w:t>
      </w:r>
    </w:p>
    <w:p>
      <w:pPr>
        <w:ind w:left="720"/>
      </w:pPr>
      <w:r>
        <w:rPr>
          <w:i/>
          <w:color w:val="666666"/>
        </w:rPr>
        <w:t xml:space="preserve">*Source: NIST SP 800-207*</w:t>
      </w:r>
    </w:p>
    <w:p>
      <w:pPr>
        <w:pBdr>
          <w:bottom w:val="single" w:sz="6" w:space="1" w:color="999999"/>
        </w:pBdr>
      </w:pPr>
    </w:p>
    <w:p>
      <w:pPr>
        <w:pStyle w:val="Heading2"/>
      </w:pPr>
      <w:r>
        <w:t>Applicable Regulatory Frameworks</w:t>
      </w:r>
    </w:p>
    <w:p>
      <w:r>
        <w:t xml:space="preserve">The following regulatory frameworks may apply to twenty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**EU AI Act** — European Union Artificial Intelligence Act — Risk-based framework for AI systems operating in or affecting the EU market</w:t>
      </w:r>
    </w:p>
    <w:p>
      <w:pPr>
        <w:pStyle w:val="ListParagraph"/>
        <w:numPr>
          <w:ilvl w:val="0"/>
          <w:numId w:val="1"/>
        </w:numPr>
      </w:pPr>
      <w:r>
        <w:t xml:space="preserve">**PCI DSS** — Payment Card Industry Data Security Standard — Required for all entities that store, process, or transmit cardholder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