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OATH-20260316-TWENTY</w:t>
      </w:r>
    </w:p>
    <w:p>
      <w:r>
        <w:t xml:space="preserve">Effective Date: 2026-03-16</w:t>
      </w:r>
    </w:p>
    <w:p>
      <w:r>
        <w:t xml:space="preserve">Project: twenty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twenty</w:t>
      </w:r>
    </w:p>
    <w:p>
      <w:pPr>
        <w:pStyle w:val="ListParagraph"/>
        <w:numPr>
          <w:ilvl w:val="0"/>
          <w:numId w:val="1"/>
        </w:numPr>
      </w:pPr>
      <w:r>
        <w:t xml:space="preserve">**Services covered:** 16 third-party services across 8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ai, storage, monitoring, database, other, email, auth,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AI Systems</w:t>
      </w:r>
    </w:p>
    <w:p>
      <w:pPr>
        <w:pStyle w:val="ListParagraph"/>
        <w:numPr>
          <w:ilvl w:val="0"/>
          <w:numId w:val="1"/>
        </w:numPr>
      </w:pPr>
      <w:r>
        <w:t xml:space="preserve">Maintain an AI governance framework aligned with the EU AI Act</w:t>
      </w:r>
    </w:p>
    <w:p>
      <w:pPr>
        <w:pStyle w:val="ListParagraph"/>
        <w:numPr>
          <w:ilvl w:val="0"/>
          <w:numId w:val="1"/>
        </w:numPr>
      </w:pPr>
      <w:r>
        <w:t xml:space="preserve">Conduct AI impact assessments for all AI-powered features</w:t>
      </w:r>
    </w:p>
    <w:p>
      <w:pPr>
        <w:pStyle w:val="ListParagraph"/>
        <w:numPr>
          <w:ilvl w:val="0"/>
          <w:numId w:val="1"/>
        </w:numPr>
      </w:pPr>
      <w:r>
        <w:t xml:space="preserve">Ensure transparency in AI decision-making processes</w:t>
      </w:r>
    </w:p>
    <w:p>
      <w:pPr>
        <w:pStyle w:val="ListParagraph"/>
        <w:numPr>
          <w:ilvl w:val="0"/>
          <w:numId w:val="1"/>
        </w:numPr>
      </w:pPr>
      <w:r>
        <w:t xml:space="preserve">Provide human oversight mechanisms for automated decisions</w:t>
      </w:r>
    </w:p>
    <w:p>
      <w:pPr>
        <w:pStyle w:val="ListParagraph"/>
        <w:numPr>
          <w:ilvl w:val="0"/>
          <w:numId w:val="1"/>
        </w:numPr>
      </w:pPr>
      <w:r>
        <w:t xml:space="preserve">Review AI model cards and training data practices quarterly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**EU AI Act**  |  AI systems used in the application  |  Risk assessment, disclosure, human oversight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