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16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16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4: AI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(`AI_DISCLOSURE.md`)</w:t>
      </w:r>
    </w:p>
    <w:p>
      <w:r>
        <w:t xml:space="preserve">  - EU AI Act Art. 50 — must disclose AI system usage to users</w:t>
      </w:r>
    </w:p>
    <w:p>
      <w:r>
        <w:t xml:space="preserve">  - Deadline: August 2, 2026 (but implement early)</w:t>
      </w:r>
    </w:p>
    <w:p>
      <w:r>
        <w:t xml:space="preserve">  - Link from main product page, not just buried in legal docs</w:t>
      </w:r>
    </w:p>
    <w:p>
      <w:pPr>
        <w:pStyle w:val="ListParagraph"/>
        <w:numPr>
          <w:ilvl w:val="0"/>
          <w:numId w:val="1"/>
        </w:numPr>
      </w:pPr>
      <w:r>
        <w:t xml:space="preserve">[ ] **Review AI Model Card** (`AI_MODEL_CARD.md`)</w:t>
      </w:r>
    </w:p>
    <w:p>
      <w:r>
        <w:t xml:space="preserve">  - Document model capabilities, limitations, and intended use</w:t>
      </w:r>
    </w:p>
    <w:p>
      <w:r>
        <w:t xml:space="preserve">  - Required for high-risk AI systems under EU AI Act Art. 53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AI Disclosure  |  ☐ Reviewed  |  ☐ Published  |  `/ai-disclosure`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16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Required for AI-based processing under GDPR Art. 35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EU AI Act  |  **August 2, 2026**  |  Fines up to EUR 35M / 7% global revenue  |  ☐ Preparation needed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(16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