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Aug 2, 2026  |  EU AI Act — Full transparency obligations take effect  |  EU AI Act (Regulation 2024/1689), Article 50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16 service(s) detected in twenty, the following obligations apply:</w:t>
      </w:r>
    </w:p>
    <w:p>
      <w:pPr>
        <w:pStyle w:val="Heading3"/>
      </w:pPr>
      <w:r>
        <w:t>AI Services (@ai-sdk/anthropic, @ai-sdk/google, @ai-sdk/openai, @vercel/ai, openai)</w:t>
      </w:r>
    </w:p>
    <w:p>
      <w:pPr>
        <w:pStyle w:val="ListParagraph"/>
        <w:numPr>
          <w:ilvl w:val="0"/>
          <w:numId w:val="1"/>
        </w:numPr>
      </w:pPr>
      <w:r>
        <w:t xml:space="preserve">**Aug 2, 2026** — AI Disclosure must be in place per EU AI Act Article 50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human oversight documentation</w:t>
      </w:r>
    </w:p>
    <w:p>
      <w:pPr>
        <w:pStyle w:val="ListParagraph"/>
        <w:numPr>
          <w:ilvl w:val="0"/>
          <w:numId w:val="1"/>
        </w:numPr>
      </w:pPr>
      <w:r>
        <w:t xml:space="preserve">**Ongoing** — Mark AI-generated content in machine-readable format</w:t>
      </w:r>
    </w:p>
    <w:p>
      <w:pPr>
        <w:pStyle w:val="ListParagraph"/>
        <w:numPr>
          <w:ilvl w:val="0"/>
          <w:numId w:val="1"/>
        </w:numPr>
      </w:pPr>
      <w:r>
        <w:t xml:space="preserve">**Ongoing** — Log AI system inputs/outputs for transparency audits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Authentication Services (passport, passport-google-oauth20, passport-microsoft)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(nodemailer)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(@aws-sdk/client-s3, drizzle, ioredis, redis)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Heading3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Finalize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Complete AI system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Implement AI-generated content marking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r>
        <w:rPr>
          <w:sz w:val="20"/>
        </w:rPr>
        <w:t xml:space="preserve">Annually  |  AI system risk re-assessment</w:t>
      </w:r>
    </w:p>
    <w:p>
      <w:r>
        <w:rPr>
          <w:sz w:val="20"/>
        </w:rPr>
        <w:t xml:space="preserve">Annually  |  AI Disclosure document review and update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