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Project: twenty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r>
        <w:rPr>
          <w:sz w:val="20"/>
        </w:rPr>
        <w:t xml:space="preserve">**AI Incident Report**  |  EU AI Act mandatory serious incident reports  |  15 days (EU AI Act Art. 62)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**Lead Supervisory Authority**  |  [EU MEMBER STATE]  |  GDPR  |  [CONTACT URL]  |  Determined by main establishment</w:t>
      </w:r>
    </w:p>
    <w:p>
      <w:r>
        <w:rPr>
          <w:sz w:val="20"/>
        </w:rPr>
        <w:t xml:space="preserve">**EDPB**  |  EU  |  Cross-border coordination  |  edpb.europa.eu  |  For cross-border processing disputes</w:t>
      </w:r>
    </w:p>
    <w:p>
      <w:r>
        <w:rPr>
          <w:sz w:val="20"/>
        </w:rPr>
        <w:t xml:space="preserve">**ICO**  |  UK  |  UK GDPR / DPA 2018  |  ico.org.uk  |  If processing UK resident data</w:t>
      </w:r>
    </w:p>
    <w:p>
      <w:r>
        <w:rPr>
          <w:sz w:val="20"/>
        </w:rPr>
        <w:t xml:space="preserve">**FTC**  |  US (Federal)  |  Consumer protection  |  ftc.gov  |  Unfair/deceptive practices</w:t>
      </w:r>
    </w:p>
    <w:p>
      <w:r>
        <w:rPr>
          <w:sz w:val="20"/>
        </w:rPr>
        <w:t xml:space="preserve">**CA AG / CPPA**  |  California  |  CCPA/CPRA  |  oag.ca.gov / cppa.ca.gov  |  If processing CA resident data</w:t>
      </w:r>
    </w:p>
    <w:p>
      <w:r>
        <w:rPr>
          <w:sz w:val="20"/>
        </w:rPr>
        <w:t xml:space="preserve">**PCI SSC**  |  International  |  Payment card data  |  pcisecuritystandards.org  |  PCI DSS compliance</w:t>
      </w:r>
    </w:p>
    <w:p>
      <w:r>
        <w:rPr>
          <w:sz w:val="20"/>
        </w:rPr>
        <w:t xml:space="preserve">**AI Office**  |  EU  |  EU AI Act  |  [TBD]  |  AI system compliance, market surveillance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Inquiries  |  —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twenty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