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16</w:t>
      </w:r>
    </w:p>
    <w:p>
      <w:r>
        <w:rPr>
          <w:sz w:val="20"/>
        </w:rPr>
        <w:t xml:space="preserve">Service categories  |  ai, storage, monitoring, database, other, email, auth, payment</w:t>
      </w:r>
    </w:p>
    <w:p>
      <w:r>
        <w:rPr>
          <w:sz w:val="20"/>
        </w:rPr>
        <w:t xml:space="preserve">DPA agreements in place  |  [N] / 16</w:t>
      </w:r>
    </w:p>
    <w:p>
      <w:r>
        <w:rPr>
          <w:sz w:val="20"/>
        </w:rPr>
        <w:t xml:space="preserve">Vendor security reviews completed  |  [N] / 16</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