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Categories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twenty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identifies the categories of individuals (data subjects) whose personal data is processed by this system, as required by GDPR Article 30.</w:t>
      </w:r>
    </w:p>
    <w:p>
      <w:pPr>
        <w:pStyle w:val="Heading2"/>
      </w:pPr>
      <w:r>
        <w:t>Data Subject Categories</w:t>
      </w:r>
    </w:p>
    <w:p>
      <w:r>
        <w:rPr>
          <w:sz w:val="20"/>
        </w:rPr>
        <w:t xml:space="preserve">Category  |  Data Types  |  Legal Basis  |  Retention</w:t>
      </w:r>
    </w:p>
    <w:p>
      <w:r>
        <w:rPr>
          <w:sz w:val="20"/>
        </w:rPr>
        <w:t xml:space="preserve">**End Users / Customers**  |  Name, email, account credentials, usage data  |  Contract performance (Art. 6(1)(b))  |  Duration of account + 30 days</w:t>
      </w:r>
    </w:p>
    <w:p>
      <w:r>
        <w:rPr>
          <w:sz w:val="20"/>
        </w:rPr>
        <w:t xml:space="preserve">**Paying Customers**  |  Payment method, billing address, transaction history  |  Contract performance (Art. 6(1)(b))  |  As required by tax law</w:t>
      </w:r>
    </w:p>
    <w:p>
      <w:r>
        <w:rPr>
          <w:sz w:val="20"/>
        </w:rPr>
        <w:t xml:space="preserve">**Support Contacts**  |  Name, email, support ticket content  |  Legitimate interest (Art. 6(1)(f))  |  2 years after last contact</w:t>
      </w:r>
    </w:p>
    <w:p>
      <w:pPr>
        <w:pStyle w:val="Heading2"/>
      </w:pPr>
      <w:r>
        <w:t>Review Notes</w:t>
      </w:r>
    </w:p>
    <w:p>
      <w:pPr>
        <w:pStyle w:val="ListParagraph"/>
        <w:numPr>
          <w:ilvl w:val="0"/>
          <w:numId w:val="1"/>
        </w:numPr>
      </w:pPr>
      <w:r>
        <w:t xml:space="preserve">Review frequency: Annually</w:t>
      </w:r>
    </w:p>
    <w:p>
      <w:pPr>
        <w:pStyle w:val="ListParagraph"/>
        <w:numPr>
          <w:ilvl w:val="0"/>
          <w:numId w:val="1"/>
        </w:numPr>
      </w:pPr>
      <w:r>
        <w:t xml:space="preserve">Last reviewed: 2026-03-16</w:t>
      </w:r>
    </w:p>
    <w:p>
      <w:pPr>
        <w:pStyle w:val="ListParagraph"/>
        <w:numPr>
          <w:ilvl w:val="0"/>
          <w:numId w:val="1"/>
        </w:numPr>
      </w:pPr>
      <w:r>
        <w:t xml:space="preserve">Next review: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</w:t>
      </w:r>
    </w:p>
    <w:p>
      <w:pPr>
        <w:pStyle w:val="ListParagraph"/>
        <w:numPr>
          <w:ilvl w:val="0"/>
          <w:numId w:val="1"/>
        </w:numPr>
      </w:pPr>
      <w:r>
        <w:t xml:space="preserve">[Record of Processing Activities](./RECORD_OF_PROCESSING_ACTIVITIES.md)</w:t>
      </w:r>
    </w:p>
    <w:p>
      <w:pPr>
        <w:pStyle w:val="ListParagraph"/>
        <w:numPr>
          <w:ilvl w:val="0"/>
          <w:numId w:val="1"/>
        </w:numPr>
      </w:pPr>
      <w:r>
        <w:t xml:space="preserve">[Lawful Basis Assessment](./LAWFUL_BASIS_ASSESSMENT.md)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DPO before finalizing.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