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16 third-party services across 8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r>
        <w:rPr>
          <w:sz w:val="20"/>
        </w:rPr>
        <w:t xml:space="preserve">AI Processing Opt-out Rate  |  &lt; 10%  |  EU AI Act / Best practice</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3.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4. Vendor Compliance Metrics</w:t>
      </w:r>
    </w:p>
    <w:p>
      <w:pPr>
        <w:pStyle w:val="Heading3"/>
      </w:pPr>
      <w:r>
        <w:t>Vendor DPA Status</w:t>
      </w:r>
    </w:p>
    <w:p>
      <w:r>
        <w:rPr>
          <w:sz w:val="20"/>
        </w:rPr>
        <w:t xml:space="preserve">Metric  |  Count  |  Percentage  |  Target</w:t>
      </w:r>
    </w:p>
    <w:p>
      <w:r>
        <w:rPr>
          <w:sz w:val="20"/>
        </w:rPr>
        <w:t xml:space="preserve">Total vendors detected  |  16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5.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Responsible AI Use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