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16 / 23 items covered (70%)</w:t>
      </w:r>
    </w:p>
    <w:p>
      <w:r>
        <w:t xml:space="preserve">##############__ 70%</w:t>
      </w:r>
    </w:p>
    <w:p>
      <w:r>
        <w:t xml:space="preserve">Good coverage. A few areas could be strengthened to match industry leaders.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**No**  |  ePrivacy Directive Art. 5(3)  |  Stripe, Vercel, Linear</w:t>
      </w:r>
    </w:p>
    <w:p>
      <w:r>
        <w:rPr>
          <w:sz w:val="20"/>
        </w:rPr>
        <w:t xml:space="preserve">11  |  AI / Automated Decision-Making Disclosure  |  Yes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**No**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Cookie Policy / Tracking Technologies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cookies, pixels, and tracking technologies used</w:t>
      </w:r>
    </w:p>
    <w:p>
      <w:pPr>
        <w:pStyle w:val="ListParagraph"/>
        <w:numPr>
          <w:ilvl w:val="0"/>
          <w:numId w:val="1"/>
        </w:numPr>
      </w:pPr>
      <w:r>
        <w:t xml:space="preserve">**Regulation:** ePrivacy Directive Art. 5(3)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analytics or advertising services are detected.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Do Not Sell My Personal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Mechanism for opting out of data sale (CCPA requirement)</w:t>
      </w:r>
    </w:p>
    <w:p>
      <w:pPr>
        <w:pStyle w:val="ListParagraph"/>
        <w:numPr>
          <w:ilvl w:val="0"/>
          <w:numId w:val="1"/>
        </w:numPr>
      </w:pPr>
      <w:r>
        <w:t xml:space="preserve">**Regulation:** CCPA Sec. 1798.120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Review industry examples above for guidance on implementing this section.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**Do Not Sell My Personal Information** (CCPA Sec. 1798.120)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**Cookie Policy / Tracking Technologies** (ePrivacy Directive Art. 5(3))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