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AI Incident Handling</w:t>
      </w:r>
    </w:p>
    <w:p>
      <w:r>
        <w:t xml:space="preserve">This project integrates with AI services. The following additional procedures apply to AI-related incidents.</w:t>
      </w:r>
    </w:p>
    <w:p>
      <w:pPr>
        <w:pStyle w:val="Heading3"/>
      </w:pPr>
      <w:r>
        <w:t>AI-Specific Incident Types</w:t>
      </w:r>
    </w:p>
    <w:p>
      <w:r>
        <w:rPr>
          <w:sz w:val="20"/>
        </w:rPr>
        <w:t xml:space="preserve">Incident Type  |  Description  |  Severity</w:t>
      </w:r>
    </w:p>
    <w:p>
      <w:r>
        <w:rPr>
          <w:sz w:val="20"/>
        </w:rPr>
        <w:t xml:space="preserve">**Data leak via AI**  |  User data or sensitive information exposed through AI model inputs/outputs  |  Critical (P1)</w:t>
      </w:r>
    </w:p>
    <w:p>
      <w:r>
        <w:rPr>
          <w:sz w:val="20"/>
        </w:rPr>
        <w:t xml:space="preserve">**Prompt injection**  |  Malicious prompts bypass safety controls to extract data or alter behavior  |  High (P2)</w:t>
      </w:r>
    </w:p>
    <w:p>
      <w:r>
        <w:rPr>
          <w:sz w:val="20"/>
        </w:rPr>
        <w:t xml:space="preserve">**Bias incident**  |  AI produces discriminatory, harmful, or biased outputs at scale  |  High (P2)</w:t>
      </w:r>
    </w:p>
    <w:p>
      <w:r>
        <w:rPr>
          <w:sz w:val="20"/>
        </w:rPr>
        <w:t xml:space="preserve">**Hallucination impact**  |  AI generates false information that causes user harm or legal liability  |  Medium–High</w:t>
      </w:r>
    </w:p>
    <w:p>
      <w:r>
        <w:rPr>
          <w:sz w:val="20"/>
        </w:rPr>
        <w:t xml:space="preserve">**Model manipulation**  |  Adversarial inputs cause the AI to produce unauthorized outputs  |  High (P2)</w:t>
      </w:r>
    </w:p>
    <w:p>
      <w:pPr>
        <w:pStyle w:val="Heading3"/>
      </w:pPr>
      <w:r>
        <w:t>AI Incident Response Steps</w:t>
      </w:r>
    </w:p>
    <w:p>
      <w:pPr>
        <w:pStyle w:val="ListParagraph"/>
        <w:numPr>
          <w:ilvl w:val="0"/>
          <w:numId w:val="2"/>
        </w:numPr>
      </w:pPr>
      <w:r>
        <w:t xml:space="preserve">**Contain** — Disable or throttle the affected AI feature immediately</w:t>
      </w:r>
    </w:p>
    <w:p>
      <w:pPr>
        <w:pStyle w:val="ListParagraph"/>
        <w:numPr>
          <w:ilvl w:val="0"/>
          <w:numId w:val="2"/>
        </w:numPr>
      </w:pPr>
      <w:r>
        <w:t xml:space="preserve">**Assess data exposure** — Determine if user data was leaked to or through the AI service</w:t>
      </w:r>
    </w:p>
    <w:p>
      <w:pPr>
        <w:pStyle w:val="ListParagraph"/>
        <w:numPr>
          <w:ilvl w:val="0"/>
          <w:numId w:val="2"/>
        </w:numPr>
      </w:pPr>
      <w:r>
        <w:t xml:space="preserve">**Review AI provider logs** — Request audit logs from the AI service provider</w:t>
      </w:r>
    </w:p>
    <w:p>
      <w:pPr>
        <w:pStyle w:val="ListParagraph"/>
        <w:numPr>
          <w:ilvl w:val="0"/>
          <w:numId w:val="2"/>
        </w:numPr>
      </w:pPr>
      <w:r>
        <w:t xml:space="preserve">**Evaluate downstream impact** — Assess whether AI outputs were stored, shared, or acted upon</w:t>
      </w:r>
    </w:p>
    <w:p>
      <w:pPr>
        <w:pStyle w:val="ListParagraph"/>
        <w:numPr>
          <w:ilvl w:val="0"/>
          <w:numId w:val="2"/>
        </w:numPr>
      </w:pPr>
      <w:r>
        <w:t xml:space="preserve">**Notify AI provider** — Report the incident to the AI service provider per your agreement</w:t>
      </w:r>
    </w:p>
    <w:p>
      <w:pPr>
        <w:pStyle w:val="ListParagraph"/>
        <w:numPr>
          <w:ilvl w:val="0"/>
          <w:numId w:val="2"/>
        </w:numPr>
      </w:pPr>
      <w:r>
        <w:t xml:space="preserve">**Update safeguards** — Strengthen input validation, output filtering, and prompt guardrails</w:t>
      </w:r>
    </w:p>
    <w:p>
      <w:pPr>
        <w:pStyle w:val="ListParagraph"/>
        <w:numPr>
          <w:ilvl w:val="0"/>
          <w:numId w:val="2"/>
        </w:numPr>
      </w:pPr>
      <w:r>
        <w:t xml:space="preserve">**Document** — Record the incident with specific attention to data flow through AI services</w:t>
      </w:r>
    </w:p>
    <w:p>
      <w:pPr>
        <w:pStyle w:val="Heading2"/>
      </w:pPr>
      <w:r>
        <w:t>11.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twenty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