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2026-03-18</w:t>
      </w:r>
    </w:p>
    <w:p>
      <w:r>
        <w:t xml:space="preserve">Project: nextjs-saas-example</w:t>
      </w:r>
    </w:p>
    <w:p>
      <w:pPr>
        <w:pBdr>
          <w:bottom w:val="single" w:sz="6" w:space="1" w:color="999999"/>
        </w:pBdr>
      </w:pPr>
    </w:p>
    <w:p>
      <w:pPr>
        <w:pStyle w:val="Heading2"/>
      </w:pPr>
      <w:r>
        <w:t>1. Introduction</w:t>
      </w:r>
    </w:p>
    <w:p>
      <w:r>
        <w:t xml:space="preserve">This AI Disclosure Statement is provided by Acme Inc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openai  |  OpenAI  |  user prompts, conversation history, generated content  |  Natural language processing, content generation</w:t>
      </w:r>
    </w:p>
    <w:p>
      <w:r>
        <w:t xml:space="preserve">Additional context: AI-powered chat assistant that helps users draft content using OpenAI GPT-4o. User messages are sent to OpenAI for processing. No automated decision-making is performed.</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ind w:left="720"/>
      </w:pPr>
      <w:r>
        <w:rPr>
          <w:i/>
          <w:color w:val="666666"/>
        </w:rPr>
        <w:t xml:space="preserve">This risk classification has been manually set by the application operator.</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OpenAI</w:t>
      </w:r>
    </w:p>
    <w:p>
      <w:r>
        <w:rPr>
          <w:sz w:val="20"/>
        </w:rPr>
        <w:t xml:space="preserve">conversation history  |  OpenAI</w:t>
      </w:r>
    </w:p>
    <w:p>
      <w:r>
        <w:rPr>
          <w:sz w:val="20"/>
        </w:rPr>
        <w:t xml:space="preserve">generated content  |  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legal@acme.com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legal@acme.com.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OpenAI  |  [Privacy &amp; Data Policy](https://openai.com/policies/privacy-policy)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legal@acme.com</w:t>
      </w:r>
    </w:p>
    <w:p>
      <w:pPr>
        <w:pStyle w:val="ListParagraph"/>
        <w:numPr>
          <w:ilvl w:val="0"/>
          <w:numId w:val="1"/>
        </w:numPr>
      </w:pPr>
      <w:r>
        <w:t xml:space="preserve">**Data Protection Officer:** dpo@acme-saas.com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