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**Acme Inc**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2026-03-18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Acme Inc</w:t>
      </w:r>
    </w:p>
    <w:p>
      <w:r>
        <w:rPr>
          <w:sz w:val="20"/>
        </w:rPr>
        <w:t xml:space="preserve">**Review Lead**  |  Jane Mueller</w:t>
      </w:r>
    </w:p>
    <w:p>
      <w:r>
        <w:rPr>
          <w:sz w:val="20"/>
        </w:rPr>
        <w:t xml:space="preserve">**Contact**  |  dpo@acme-saas.com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2026-03-18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AI Disclosure  |  `AI_DISCLOSURE.md`  |  Annual + on AI service changes  |  - [ ] Reviewed</w:t>
      </w:r>
    </w:p>
    <w:p>
      <w:r>
        <w:rPr>
          <w:sz w:val="20"/>
        </w:rPr>
        <w:t xml:space="preserve">8  |  AI Governance Framework  |  `AI_GOVERNANCE_FRAMEWORK.md`  |  Annual + on model changes  |  - [ ] Reviewed</w:t>
      </w:r>
    </w:p>
    <w:p>
      <w:r>
        <w:rPr>
          <w:sz w:val="20"/>
        </w:rPr>
        <w:t xml:space="preserve">9  |  Cookie Policy  |  `COOKIE_POLICY.md`  |  Annual + on analytics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[ ] AI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handling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Risk classification is current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under EU AI Act are met</w:t>
      </w:r>
    </w:p>
    <w:p>
      <w:pPr>
        <w:pStyle w:val="Heading4"/>
      </w:pPr>
      <w:r>
        <w:t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[ ] AI risk assessments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Human oversight mechanisms are functioning</w:t>
      </w:r>
    </w:p>
    <w:p>
      <w:pPr>
        <w:pStyle w:val="ListParagraph"/>
        <w:numPr>
          <w:ilvl w:val="0"/>
          <w:numId w:val="1"/>
        </w:numPr>
      </w:pPr>
      <w:r>
        <w:t xml:space="preserve">[ ] AI model cards are current</w:t>
      </w:r>
    </w:p>
    <w:p>
      <w:pPr>
        <w:pStyle w:val="ListParagraph"/>
        <w:numPr>
          <w:ilvl w:val="0"/>
          <w:numId w:val="1"/>
        </w:numPr>
      </w:pPr>
      <w:r>
        <w:t xml:space="preserve">[ ] Bias monitoring is in place</w:t>
      </w:r>
    </w:p>
    <w:p>
      <w:pPr>
        <w:pStyle w:val="Heading4"/>
      </w:pPr>
      <w:r>
        <w:t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[ ] Cookie inventory is complete and accurate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are documented</w:t>
      </w:r>
    </w:p>
    <w:p>
      <w:pPr>
        <w:pStyle w:val="ListParagraph"/>
        <w:numPr>
          <w:ilvl w:val="0"/>
          <w:numId w:val="1"/>
        </w:numPr>
      </w:pPr>
      <w:r>
        <w:t xml:space="preserve">[ ] Consent mechanism is functioning properly</w:t>
      </w:r>
    </w:p>
    <w:p>
      <w:pPr>
        <w:pStyle w:val="ListParagraph"/>
        <w:numPr>
          <w:ilvl w:val="0"/>
          <w:numId w:val="1"/>
        </w:numPr>
      </w:pPr>
      <w:r>
        <w:t xml:space="preserve">[ ] Cookie lifetimes match actual settings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August  |  Cookie consent mechanism audit  |  ePrivacy Directive  |  Marketing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October  |  AI system audit and bias review  |  EU AI Act  |  AI Governance Lead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@sentry/node  |  monitoring  |  - [ ] Yes  |  [Date]  |  [None / Update DPA / Replace / Remove]</w:t>
      </w:r>
    </w:p>
    <w:p>
      <w:r>
        <w:rPr>
          <w:sz w:val="20"/>
        </w:rPr>
        <w:t xml:space="preserve">@supabase/supabase-js  |  auth  |  - [ ] Yes  |  [Date]  |  [None / Update DPA / Replace / Remove]</w:t>
      </w:r>
    </w:p>
    <w:p>
      <w:r>
        <w:rPr>
          <w:sz w:val="20"/>
        </w:rPr>
        <w:t xml:space="preserve">openai  |  ai  |  - [ ] Yes  |  [Date]  |  [None / Update DPA / Replace / Remove]</w:t>
      </w:r>
    </w:p>
    <w:p>
      <w:r>
        <w:rPr>
          <w:sz w:val="20"/>
        </w:rPr>
        <w:t xml:space="preserve">posthog  |  analytics  |  - [ ] Yes  |  [Date]  |  [None / Update DPA / Replace / Remove]</w:t>
      </w:r>
    </w:p>
    <w:p>
      <w:r>
        <w:rPr>
          <w:sz w:val="20"/>
        </w:rPr>
        <w:t xml:space="preserve">prisma  |  database  |  - [ ] Yes  |  [Date]  |  [None / Update DPA / Replace / Remove]</w:t>
      </w:r>
    </w:p>
    <w:p>
      <w:r>
        <w:rPr>
          <w:sz w:val="20"/>
        </w:rPr>
        <w:t xml:space="preserve">resend  |  email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r>
        <w:rPr>
          <w:sz w:val="20"/>
        </w:rPr>
        <w:t xml:space="preserve">stripe-ios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