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Acme Inc</w:t>
      </w:r>
    </w:p>
    <w:p>
      <w:pPr>
        <w:ind w:left="720"/>
      </w:pPr>
      <w:r>
        <w:rPr>
          <w:i/>
          <w:color w:val="666666"/>
        </w:rPr>
        <w:t xml:space="preserve">Auto-generated by Codepliant on 2026-03-18.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**6**</w:t>
      </w:r>
    </w:p>
    <w:p>
      <w:r>
        <w:rPr>
          <w:sz w:val="20"/>
        </w:rPr>
        <w:t xml:space="preserve">Critical Gaps  |  **2**</w:t>
      </w:r>
    </w:p>
    <w:p>
      <w:r>
        <w:rPr>
          <w:sz w:val="20"/>
        </w:rPr>
        <w:t xml:space="preserve">High Priority Gaps  |  **3**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8</w:t>
      </w:r>
    </w:p>
    <w:p>
      <w:r>
        <w:rPr>
          <w:sz w:val="20"/>
        </w:rPr>
        <w:t xml:space="preserve">Regulations Covered  |  EU AI Act,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AI Risk Classification  |  Risk level set to: limited  |  All AI systems classified; high-risk systems registered in EU database  |  Document classification rationale; register if high-risk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Document classification rationale; register if high-risk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Document classification rationale; register if high-risk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