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Acme Inc</w:t>
      </w:r>
    </w:p>
    <w:p>
      <w:pPr>
        <w:ind w:left="720"/>
      </w:pPr>
      <w:r>
        <w:rPr>
          <w:i/>
          <w:color w:val="666666"/>
        </w:rPr>
        <w:t xml:space="preserve">Auto-generated by Codepliant on 2026-03-18.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3</w:t>
      </w:r>
    </w:p>
    <w:p>
      <w:r>
        <w:rPr>
          <w:sz w:val="20"/>
        </w:rPr>
        <w:t xml:space="preserve">🟠 High  |  3</w:t>
      </w:r>
    </w:p>
    <w:p>
      <w:r>
        <w:rPr>
          <w:sz w:val="20"/>
        </w:rPr>
        <w:t xml:space="preserve">🟡 Medium  |  2</w:t>
      </w:r>
    </w:p>
    <w:p>
      <w:r>
        <w:rPr>
          <w:sz w:val="20"/>
        </w:rPr>
        <w:t xml:space="preserve">**Total**  |  **8**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RISK-004  |  Invalid consent for tracking  |  consent  |  4 (Likely)  |  4 (Major)  |  16  |  🔴 Critical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RISK-008  |  Missing required compliance documents  |  regulatory  |  5 (Almost Certain)  |  3 (Moderate)  |  15  |  🔴 Critical</w:t>
      </w:r>
    </w:p>
    <w:p>
      <w:r>
        <w:rPr>
          <w:sz w:val="20"/>
        </w:rPr>
        <w:t xml:space="preserve">RISK-005  |  AI data leakage  |  ai-specific  |  3 (Possible)  |  4 (Major)  |  12  |  🟠 High</w:t>
      </w:r>
    </w:p>
    <w:p>
      <w:r>
        <w:rPr>
          <w:sz w:val="20"/>
        </w:rPr>
        <w:t xml:space="preserve">RISK-006  |  EU AI Act non-compliance  |  ai-specific  |  3 (Possible)  |  4 (Major)  |  12  |  🟠 High</w:t>
      </w:r>
    </w:p>
    <w:p>
      <w:r>
        <w:rPr>
          <w:sz w:val="20"/>
        </w:rPr>
        <w:t xml:space="preserve">RISK-002  |  Payment data exposure  |  data-breach  |  2 (Unlikely)  |  5 (Critical)  |  10  |  🟠 High</w:t>
      </w:r>
    </w:p>
    <w:p>
      <w:r>
        <w:rPr>
          <w:sz w:val="20"/>
        </w:rPr>
        <w:t xml:space="preserve">RISK-003  |  Third-party vendor data handling  |  vendor  |  3 (Possible)  |  3 (Moderate)  |  9  |  🟡 Medium</w:t>
      </w:r>
    </w:p>
    <w:p>
      <w:r>
        <w:rPr>
          <w:sz w:val="20"/>
        </w:rPr>
        <w:t xml:space="preserve">RISK-007  |  Unsolicited email communications  |  operational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RISK-004: Invalid consent for tracking 🔴</w:t>
      </w:r>
    </w:p>
    <w:p>
      <w:r>
        <w:t xml:space="preserve">Category: consent  </w:t>
      </w:r>
    </w:p>
    <w:p>
      <w:r>
        <w:t xml:space="preserve">Likelihood: 4/5 (Likely)  </w:t>
      </w:r>
    </w:p>
    <w:p>
      <w:r>
        <w:t xml:space="preserve">Impact: 4/5 (Major)  </w:t>
      </w:r>
    </w:p>
    <w:p>
      <w:r>
        <w:t xml:space="preserve">Risk Score: 16/25 (Critical)  </w:t>
      </w:r>
    </w:p>
    <w:p>
      <w:r>
        <w:t xml:space="preserve">Description: Analytics and advertising services may collect data before obtaining valid user consent, violating GDPR/ePrivacy requirements.</w:t>
      </w:r>
    </w:p>
    <w:p>
      <w:r>
        <w:t xml:space="preserve">Related Services: posthog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a consent management platform (CMP)</w:t>
      </w:r>
    </w:p>
    <w:p>
      <w:pPr>
        <w:pStyle w:val="ListParagraph"/>
        <w:numPr>
          <w:ilvl w:val="0"/>
          <w:numId w:val="1"/>
        </w:numPr>
      </w:pPr>
      <w:r>
        <w:t xml:space="preserve">[ ] Block tracking scripts until consent is obtained</w:t>
      </w:r>
    </w:p>
    <w:p>
      <w:pPr>
        <w:pStyle w:val="ListParagraph"/>
        <w:numPr>
          <w:ilvl w:val="0"/>
          <w:numId w:val="1"/>
        </w:numPr>
      </w:pPr>
      <w:r>
        <w:t xml:space="preserve">[ ] Document and audit consent flows regularly</w:t>
      </w:r>
    </w:p>
    <w:p>
      <w:pPr>
        <w:pStyle w:val="ListParagraph"/>
        <w:numPr>
          <w:ilvl w:val="0"/>
          <w:numId w:val="1"/>
        </w:numPr>
      </w:pPr>
      <w:r>
        <w:t xml:space="preserve">[ ] Provide granular consent options (not just accept/reject)</w:t>
      </w:r>
    </w:p>
    <w:p>
      <w:pPr>
        <w:pStyle w:val="ListParagraph"/>
        <w:numPr>
          <w:ilvl w:val="0"/>
          <w:numId w:val="1"/>
        </w:numPr>
      </w:pPr>
      <w:r>
        <w:t xml:space="preserve">[ ] Implement consent withdrawal mechanisms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@supabase/supabase-js, prisma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RISK-008: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3 required compliance document(s) identified but not yet generated: Privacy Policy, AI Disclosure, Cookie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RISK-005: AI data leakage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services may process user data through external APIs. Data sent to AI models could be used for training or exposed through model outputs.</w:t>
      </w:r>
    </w:p>
    <w:p>
      <w:r>
        <w:t xml:space="preserve">Related Services: 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Review AI provider data processing terms and opt out of training</w:t>
      </w:r>
    </w:p>
    <w:p>
      <w:pPr>
        <w:pStyle w:val="ListParagraph"/>
        <w:numPr>
          <w:ilvl w:val="0"/>
          <w:numId w:val="1"/>
        </w:numPr>
      </w:pPr>
      <w:r>
        <w:t xml:space="preserve">[ ] Implement input sanitization before sending data to AI APIs</w:t>
      </w:r>
    </w:p>
    <w:p>
      <w:pPr>
        <w:pStyle w:val="ListParagraph"/>
        <w:numPr>
          <w:ilvl w:val="0"/>
          <w:numId w:val="1"/>
        </w:numPr>
      </w:pPr>
      <w:r>
        <w:t xml:space="preserve">[ ] Log all data sent to and received from AI services</w:t>
      </w:r>
    </w:p>
    <w:p>
      <w:pPr>
        <w:pStyle w:val="ListParagraph"/>
        <w:numPr>
          <w:ilvl w:val="0"/>
          <w:numId w:val="1"/>
        </w:numPr>
      </w:pPr>
      <w:r>
        <w:t xml:space="preserve">[ ] Implement PII detection and redaction before AI processing</w:t>
      </w:r>
    </w:p>
    <w:p>
      <w:pPr>
        <w:pStyle w:val="ListParagraph"/>
        <w:numPr>
          <w:ilvl w:val="0"/>
          <w:numId w:val="1"/>
        </w:numPr>
      </w:pPr>
      <w:r>
        <w:t xml:space="preserve">[ ] Disclose AI usage in privacy policy and terms of service</w:t>
      </w:r>
    </w:p>
    <w:p>
      <w:pPr>
        <w:pStyle w:val="Heading3"/>
      </w:pPr>
      <w:r>
        <w:t>RISK-006: EU AI Act non-compliance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systems may fall under EU AI Act requirements. High-risk AI systems require conformity assessments, registration, and ongoing monitoring.</w:t>
      </w:r>
    </w:p>
    <w:p>
      <w:r>
        <w:t xml:space="preserve">Related Services: 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(minimal/limited/high/unacceptable)</w:t>
      </w:r>
    </w:p>
    <w:p>
      <w:pPr>
        <w:pStyle w:val="ListParagraph"/>
        <w:numPr>
          <w:ilvl w:val="0"/>
          <w:numId w:val="1"/>
        </w:numPr>
      </w:pPr>
      <w:r>
        <w:t xml:space="preserve">[ ] Document AI system purpose, capabilities, and limitations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mechanisms for high-risk AI</w:t>
      </w:r>
    </w:p>
    <w:p>
      <w:pPr>
        <w:pStyle w:val="ListParagraph"/>
        <w:numPr>
          <w:ilvl w:val="0"/>
          <w:numId w:val="1"/>
        </w:numPr>
      </w:pPr>
      <w:r>
        <w:t xml:space="preserve">[ ] Maintain technical documentation per AI Act Article 11</w:t>
      </w:r>
    </w:p>
    <w:p>
      <w:pPr>
        <w:pStyle w:val="ListParagraph"/>
        <w:numPr>
          <w:ilvl w:val="0"/>
          <w:numId w:val="1"/>
        </w:numPr>
      </w:pPr>
      <w:r>
        <w:t xml:space="preserve">[ ] Register high-risk AI systems in the EU database</w:t>
      </w:r>
    </w:p>
    <w:p>
      <w:pPr>
        <w:pStyle w:val="Heading3"/>
      </w:pPr>
      <w:r>
        <w:t>RISK-002: Payment data exposure 🟠</w:t>
      </w:r>
    </w:p>
    <w:p>
      <w:r>
        <w:t xml:space="preserve">Category: data-breach  </w:t>
      </w:r>
    </w:p>
    <w:p>
      <w:r>
        <w:t xml:space="preserve">Likelihood: 2/5 (Unlikely)  </w:t>
      </w:r>
    </w:p>
    <w:p>
      <w:r>
        <w:t xml:space="preserve">Impact: 5/5 (Critical)  </w:t>
      </w:r>
    </w:p>
    <w:p>
      <w:r>
        <w:t xml:space="preserve">Risk Score: 10/25 (High)  </w:t>
      </w:r>
    </w:p>
    <w:p>
      <w:r>
        <w:t xml:space="preserve">Description: Payment processing services handle sensitive financial data. PCI DSS compliance failures could lead to fines and data exposure.</w:t>
      </w:r>
    </w:p>
    <w:p>
      <w:r>
        <w:t xml:space="preserve">Related Services: stripe, stripe-ios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of all payment processors</w:t>
      </w:r>
    </w:p>
    <w:p>
      <w:pPr>
        <w:pStyle w:val="ListParagraph"/>
        <w:numPr>
          <w:ilvl w:val="0"/>
          <w:numId w:val="1"/>
        </w:numPr>
      </w:pPr>
      <w:r>
        <w:t xml:space="preserve">[ ] Never store raw card numbers — use tokenization</w:t>
      </w:r>
    </w:p>
    <w:p>
      <w:pPr>
        <w:pStyle w:val="ListParagraph"/>
        <w:numPr>
          <w:ilvl w:val="0"/>
          <w:numId w:val="1"/>
        </w:numPr>
      </w:pPr>
      <w:r>
        <w:t xml:space="preserve">[ ] Implement PCI DSS SAQ-A or SAQ-A-EP controls</w:t>
      </w:r>
    </w:p>
    <w:p>
      <w:pPr>
        <w:pStyle w:val="ListParagraph"/>
        <w:numPr>
          <w:ilvl w:val="0"/>
          <w:numId w:val="1"/>
        </w:numPr>
      </w:pPr>
      <w:r>
        <w:t xml:space="preserve">[ ] Conduct annual PCI compliance audits</w:t>
      </w:r>
    </w:p>
    <w:p>
      <w:pPr>
        <w:pStyle w:val="ListParagraph"/>
        <w:numPr>
          <w:ilvl w:val="0"/>
          <w:numId w:val="1"/>
        </w:numPr>
      </w:pPr>
      <w:r>
        <w:t xml:space="preserve">[ ] Use payment processor hosted payment pages where possible</w:t>
      </w:r>
    </w:p>
    <w:p>
      <w:pPr>
        <w:pStyle w:val="Heading3"/>
      </w:pPr>
      <w:r>
        <w:t>RISK-003: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8 third-party services detected. Each vendor introduces potential data handling, availability, and compliance risks.</w:t>
      </w:r>
    </w:p>
    <w:p>
      <w:r>
        <w:t xml:space="preserve">Related Services: @sentry/node, @supabase/supabase-js, openai, posthog, prisma, resend, stripe, stripe-ios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3"/>
      </w:pPr>
      <w:r>
        <w:t>RISK-007: Unsolicited email communications 🟡</w:t>
      </w:r>
    </w:p>
    <w:p>
      <w:r>
        <w:t xml:space="preserve">Category: operational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Email services may be used to send marketing communications without proper consent, violating CAN-SPAM, GDPR, or CASL.</w:t>
      </w:r>
    </w:p>
    <w:p>
      <w:r>
        <w:t xml:space="preserve">Related Services: resend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double opt-in for marketing emails</w:t>
      </w:r>
    </w:p>
    <w:p>
      <w:pPr>
        <w:pStyle w:val="ListParagraph"/>
        <w:numPr>
          <w:ilvl w:val="0"/>
          <w:numId w:val="1"/>
        </w:numPr>
      </w:pPr>
      <w:r>
        <w:t xml:space="preserve">[ ] Include working unsubscribe links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[ ] Maintain suppression lists and honor unsubscribe requests promptly</w:t>
      </w:r>
    </w:p>
    <w:p>
      <w:pPr>
        <w:pStyle w:val="ListParagraph"/>
        <w:numPr>
          <w:ilvl w:val="0"/>
          <w:numId w:val="1"/>
        </w:numPr>
      </w:pPr>
      <w:r>
        <w:t xml:space="preserve">[ ] Separate transactional and marketing email flows</w:t>
      </w:r>
    </w:p>
    <w:p>
      <w:pPr>
        <w:pStyle w:val="ListParagraph"/>
        <w:numPr>
          <w:ilvl w:val="0"/>
          <w:numId w:val="1"/>
        </w:numPr>
      </w:pPr>
      <w:r>
        <w:t xml:space="preserve">[ ] Document lawful basis for each email communication type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