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Acme Inc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2026-03-18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Acme Inc operates a technology stack comprising 8 third-party services across 7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8</w:t>
      </w:r>
    </w:p>
    <w:p>
      <w:r>
        <w:rPr>
          <w:sz w:val="20"/>
        </w:rPr>
        <w:t xml:space="preserve">**Data Processing Categories**  |  7</w:t>
      </w:r>
    </w:p>
    <w:p>
      <w:r>
        <w:rPr>
          <w:sz w:val="20"/>
        </w:rPr>
        <w:t xml:space="preserve">**Data Categories Detected**  |  9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Yes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AI governance framework and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Review EU AI Act readiness status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Analytics  │ Auth breach │ AI misuse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AI / Machine Learning  |  1  |  High  |  EU AI Act compliance, bias, hallucination risk</w:t>
      </w:r>
    </w:p>
    <w:p>
      <w:r>
        <w:rPr>
          <w:sz w:val="20"/>
        </w:rPr>
        <w:t xml:space="preserve">Payment Processing  |  2  |  High  |  PCI DSS compliance, fraud liability</w:t>
      </w:r>
    </w:p>
    <w:p>
      <w:r>
        <w:rPr>
          <w:sz w:val="20"/>
        </w:rPr>
        <w:t xml:space="preserve">Authentication  |  1  |  Medium  |  Credential breach, account takeover</w:t>
      </w:r>
    </w:p>
    <w:p>
      <w:r>
        <w:rPr>
          <w:sz w:val="20"/>
        </w:rPr>
        <w:t xml:space="preserve">Analytics  |  1  |  Medium  |  Cookie consent, cross-border transfers</w:t>
      </w:r>
    </w:p>
    <w:p>
      <w:r>
        <w:rPr>
          <w:sz w:val="20"/>
        </w:rPr>
        <w:t xml:space="preserve">Monitoring  |  1  |  Low  |  Data minimization, retention</w:t>
      </w:r>
    </w:p>
    <w:p>
      <w:r>
        <w:rPr>
          <w:sz w:val="20"/>
        </w:rPr>
        <w:t xml:space="preserve">Database  |  1  |  Medium  |  Vendor dependency, data processing</w:t>
      </w:r>
    </w:p>
    <w:p>
      <w:r>
        <w:rPr>
          <w:sz w:val="20"/>
        </w:rPr>
        <w:t xml:space="preserve">Email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Acme Inc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EU AI Act  |  **Phasing in**  |  Direct — AI service providers  |  Risk classification + conformity assessment</w:t>
      </w:r>
    </w:p>
    <w:p>
      <w:r>
        <w:rPr>
          <w:sz w:val="20"/>
        </w:rPr>
        <w:t xml:space="preserve">Colorado AI Act  |  **Effective 2026**  |  Monitor — US AI regulation  |  Impact assessment for high-risk AI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AI Compliance  |  AI Disclosure, AI Model Card, AI Governance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**Prioritize EU AI Act readiness** — With 1 AI service(s) detected, complete risk classification and establish conformity assessment procedures before enforcement deadlines.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@sentry/node  |  monitoring  |  Yes  |  error data, stack traces, user context +2 more</w:t>
      </w:r>
    </w:p>
    <w:p>
      <w:r>
        <w:rPr>
          <w:sz w:val="20"/>
        </w:rPr>
        <w:t xml:space="preserve">2  |  @supabase/supabase-js  |  auth  |  Yes  |  email, password hash, session data +1 more</w:t>
      </w:r>
    </w:p>
    <w:p>
      <w:r>
        <w:rPr>
          <w:sz w:val="20"/>
        </w:rPr>
        <w:t xml:space="preserve">3  |  openai  |  ai  |  Yes  |  user prompts, conversation history, generated content</w:t>
      </w:r>
    </w:p>
    <w:p>
      <w:r>
        <w:rPr>
          <w:sz w:val="20"/>
        </w:rPr>
        <w:t xml:space="preserve">4  |  posthog  |  analytics  |  Yes  |  user behavior, session recordings, feature flag usage +1 more</w:t>
      </w:r>
    </w:p>
    <w:p>
      <w:r>
        <w:rPr>
          <w:sz w:val="20"/>
        </w:rPr>
        <w:t xml:space="preserve">5  |  prisma  |  database  |  Yes  |  user data as defined in schema</w:t>
      </w:r>
    </w:p>
    <w:p>
      <w:r>
        <w:rPr>
          <w:sz w:val="20"/>
        </w:rPr>
        <w:t xml:space="preserve">6  |  resend  |  email  |  Yes  |  email addresses, email content</w:t>
      </w:r>
    </w:p>
    <w:p>
      <w:r>
        <w:rPr>
          <w:sz w:val="20"/>
        </w:rPr>
        <w:t xml:space="preserve">7  |  stripe  |  payment  |  Yes  |  payment information, billing address, email +1 more</w:t>
      </w:r>
    </w:p>
    <w:p>
      <w:r>
        <w:rPr>
          <w:sz w:val="20"/>
        </w:rPr>
        <w:t xml:space="preserve">8  |  stripe-ios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nextjs-saas-example codebase (8 services detected). Sections marked with [brackets] require manual input from the compliance team. This report should be reviewed and supplemented with operational data before board presentation. Generated on 2026-03-18.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