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Organisation: Acme Inc</w:t>
      </w:r>
    </w:p>
    <w:p>
      <w:r>
        <w:t xml:space="preserve">Project: nextjs-saas-example</w:t>
      </w:r>
    </w:p>
    <w:p>
      <w:r>
        <w:t xml:space="preserve">Services Monitored: 8</w:t>
      </w:r>
    </w:p>
    <w:p>
      <w:r>
        <w:t xml:space="preserve">Generated: 2026-03-18</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r>
        <w:rPr>
          <w:sz w:val="20"/>
        </w:rPr>
        <w:t xml:space="preserve">KPI-AI-01  |  AI Model Accuracy  |  &gt; 90% (application-specific)  |  Monthly  |  EU AI Act Art. 15</w:t>
      </w:r>
    </w:p>
    <w:p>
      <w:r>
        <w:rPr>
          <w:sz w:val="20"/>
        </w:rPr>
        <w:t xml:space="preserve">KPI-AI-02  |  AI Bias Audit Frequency  |  &gt; 1 per quarter  |  Quarterly  |  EU AI Act Art. 9, Colorado AI Act</w:t>
      </w:r>
    </w:p>
    <w:p>
      <w:r>
        <w:rPr>
          <w:sz w:val="20"/>
        </w:rPr>
        <w:t xml:space="preserve">KPI-AI-03  |  AI Incident Rate  |  &lt; 5 per 1000  |  Monthly  |  EU AI Act Art. 62</w:t>
      </w:r>
    </w:p>
    <w:p>
      <w:r>
        <w:rPr>
          <w:sz w:val="20"/>
        </w:rPr>
        <w:t xml:space="preserve">KPI-AI-04  |  Prompt Injection Block Rate  |  &gt; 95%  |  Monthly  |  EU AI Act Art. 15, OWASP LLM01</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AI-Specific KPIs</w:t>
      </w:r>
    </w:p>
    <w:p>
      <w:pPr>
        <w:ind w:left="720"/>
      </w:pPr>
      <w:r>
        <w:rPr>
          <w:i/>
          <w:color w:val="666666"/>
        </w:rPr>
        <w:t xml:space="preserve">The following KPIs are included because AI services were detected in your application: openai</w:t>
      </w:r>
    </w:p>
    <w:p>
      <w:pPr>
        <w:pStyle w:val="Heading3"/>
      </w:pPr>
      <w:r>
        <w:t>KPI-AI-01: AI Model Accuracy</w:t>
      </w:r>
    </w:p>
    <w:p>
      <w:r>
        <w:t xml:space="preserve">Description: Measured accuracy of AI model outputs against ground truth</w:t>
      </w:r>
    </w:p>
    <w:p>
      <w:r>
        <w:t xml:space="preserve">Metric: Percentage</w:t>
      </w:r>
    </w:p>
    <w:p>
      <w:r>
        <w:t xml:space="preserve">Target: &gt; 90% (application-specific)</w:t>
      </w:r>
    </w:p>
    <w:p>
      <w:r>
        <w:t xml:space="preserve">Measurement Frequency: Monthly</w:t>
      </w:r>
    </w:p>
    <w:p>
      <w:r>
        <w:t xml:space="preserve">Regulatory Basis: EU AI Act Art. 15</w:t>
      </w:r>
    </w:p>
    <w:p>
      <w:r>
        <w:t xml:space="preserve">Formula: `(Correct predictions / Total predictions) × 100`</w:t>
      </w:r>
    </w:p>
    <w:p>
      <w:pPr>
        <w:pStyle w:val="Heading4"/>
      </w:pPr>
      <w:r>
        <w:t>Tracking Template</w:t>
      </w:r>
    </w:p>
    <w:p>
      <w:r>
        <w:rPr>
          <w:sz w:val="20"/>
        </w:rPr>
        <w:t xml:space="preserve">Period  |  Actual  |  Target  |  Status  |  Trend  |  Notes</w:t>
      </w:r>
    </w:p>
    <w:p>
      <w:r>
        <w:rPr>
          <w:sz w:val="20"/>
        </w:rPr>
        <w:t xml:space="preserve">Month 1  |  ___  |  &gt; 90% (application-specific)  |  ⬜  |  —</w:t>
      </w:r>
    </w:p>
    <w:p>
      <w:r>
        <w:rPr>
          <w:sz w:val="20"/>
        </w:rPr>
        <w:t xml:space="preserve">Month 2  |  ___  |  &gt; 90% (application-specific)  |  ⬜  |  —</w:t>
      </w:r>
    </w:p>
    <w:p>
      <w:r>
        <w:rPr>
          <w:sz w:val="20"/>
        </w:rPr>
        <w:t xml:space="preserve">Month 3  |  ___  |  &gt; 90% (application-specific)  |  ⬜  |  —</w:t>
      </w:r>
    </w:p>
    <w:p>
      <w:pPr>
        <w:pStyle w:val="Heading3"/>
      </w:pPr>
      <w:r>
        <w:t>KPI-AI-02: AI Bias Audit Frequency</w:t>
      </w:r>
    </w:p>
    <w:p>
      <w:r>
        <w:t xml:space="preserve">Description: Number of bias audits conducted on AI systems</w:t>
      </w:r>
    </w:p>
    <w:p>
      <w:r>
        <w:t xml:space="preserve">Metric: Count</w:t>
      </w:r>
    </w:p>
    <w:p>
      <w:r>
        <w:t xml:space="preserve">Target: &gt; 1 per quarter</w:t>
      </w:r>
    </w:p>
    <w:p>
      <w:r>
        <w:t xml:space="preserve">Measurement Frequency: Quarterly</w:t>
      </w:r>
    </w:p>
    <w:p>
      <w:r>
        <w:t xml:space="preserve">Regulatory Basis: EU AI Act Art. 9, Colorado AI Act</w:t>
      </w:r>
    </w:p>
    <w:p>
      <w:r>
        <w:t xml:space="preserve">Formula: `Count of completed bias audits in period`</w:t>
      </w:r>
    </w:p>
    <w:p>
      <w:pPr>
        <w:pStyle w:val="Heading4"/>
      </w:pPr>
      <w:r>
        <w:t>Tracking Template</w:t>
      </w:r>
    </w:p>
    <w:p>
      <w:r>
        <w:rPr>
          <w:sz w:val="20"/>
        </w:rPr>
        <w:t xml:space="preserve">Period  |  Actual  |  Target  |  Status  |  Trend  |  Notes</w:t>
      </w:r>
    </w:p>
    <w:p>
      <w:r>
        <w:rPr>
          <w:sz w:val="20"/>
        </w:rPr>
        <w:t xml:space="preserve">Month 1  |  ___  |  &gt; 1 per quarter  |  ⬜  |  —</w:t>
      </w:r>
    </w:p>
    <w:p>
      <w:r>
        <w:rPr>
          <w:sz w:val="20"/>
        </w:rPr>
        <w:t xml:space="preserve">Month 2  |  ___  |  &gt; 1 per quarter  |  ⬜  |  —</w:t>
      </w:r>
    </w:p>
    <w:p>
      <w:r>
        <w:rPr>
          <w:sz w:val="20"/>
        </w:rPr>
        <w:t xml:space="preserve">Month 3  |  ___  |  &gt; 1 per quarter  |  ⬜  |  —</w:t>
      </w:r>
    </w:p>
    <w:p>
      <w:pPr>
        <w:pStyle w:val="Heading3"/>
      </w:pPr>
      <w:r>
        <w:t>KPI-AI-03: AI Incident Rate</w:t>
      </w:r>
    </w:p>
    <w:p>
      <w:r>
        <w:t xml:space="preserve">Description: Number of AI-related incidents (hallucinations, bias events, safety triggers)</w:t>
      </w:r>
    </w:p>
    <w:p>
      <w:r>
        <w:t xml:space="preserve">Metric: Count per 1000 interactions</w:t>
      </w:r>
    </w:p>
    <w:p>
      <w:r>
        <w:t xml:space="preserve">Target: &lt; 5 per 1000</w:t>
      </w:r>
    </w:p>
    <w:p>
      <w:r>
        <w:t xml:space="preserve">Measurement Frequency: Monthly</w:t>
      </w:r>
    </w:p>
    <w:p>
      <w:r>
        <w:t xml:space="preserve">Regulatory Basis: EU AI Act Art. 62</w:t>
      </w:r>
    </w:p>
    <w:p>
      <w:r>
        <w:t xml:space="preserve">Formula: `(AI incidents / Total AI interactions) × 1000`</w:t>
      </w:r>
    </w:p>
    <w:p>
      <w:pPr>
        <w:pStyle w:val="Heading4"/>
      </w:pPr>
      <w:r>
        <w:t>Tracking Template</w:t>
      </w:r>
    </w:p>
    <w:p>
      <w:r>
        <w:rPr>
          <w:sz w:val="20"/>
        </w:rPr>
        <w:t xml:space="preserve">Period  |  Actual  |  Target  |  Status  |  Trend  |  Notes</w:t>
      </w:r>
    </w:p>
    <w:p>
      <w:r>
        <w:rPr>
          <w:sz w:val="20"/>
        </w:rPr>
        <w:t xml:space="preserve">Month 1  |  ___  |  &lt; 5 per 1000  |  ⬜  |  —</w:t>
      </w:r>
    </w:p>
    <w:p>
      <w:r>
        <w:rPr>
          <w:sz w:val="20"/>
        </w:rPr>
        <w:t xml:space="preserve">Month 2  |  ___  |  &lt; 5 per 1000  |  ⬜  |  —</w:t>
      </w:r>
    </w:p>
    <w:p>
      <w:r>
        <w:rPr>
          <w:sz w:val="20"/>
        </w:rPr>
        <w:t xml:space="preserve">Month 3  |  ___  |  &lt; 5 per 1000  |  ⬜  |  —</w:t>
      </w:r>
    </w:p>
    <w:p>
      <w:pPr>
        <w:pStyle w:val="Heading3"/>
      </w:pPr>
      <w:r>
        <w:t>KPI-AI-04: Prompt Injection Block Rate</w:t>
      </w:r>
    </w:p>
    <w:p>
      <w:r>
        <w:t xml:space="preserve">Description: Percentage of prompt injection attempts successfully blocked</w:t>
      </w:r>
    </w:p>
    <w:p>
      <w:r>
        <w:t xml:space="preserve">Metric: Percentage</w:t>
      </w:r>
    </w:p>
    <w:p>
      <w:r>
        <w:t xml:space="preserve">Target: &gt; 95%</w:t>
      </w:r>
    </w:p>
    <w:p>
      <w:r>
        <w:t xml:space="preserve">Measurement Frequency: Monthly</w:t>
      </w:r>
    </w:p>
    <w:p>
      <w:r>
        <w:t xml:space="preserve">Regulatory Basis: EU AI Act Art. 15, OWASP LLM01</w:t>
      </w:r>
    </w:p>
    <w:p>
      <w:r>
        <w:t xml:space="preserve">Formula: `(Blocked injection attempts / Total injection attempts)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rPr>
          <w:sz w:val="20"/>
        </w:rPr>
        <w:t xml:space="preserve">6  |  AI Model Accuracy  |  &gt; 90% (application-specific)  |  ___  |  ⬜</w:t>
      </w:r>
    </w:p>
    <w:p>
      <w:r>
        <w:rPr>
          <w:sz w:val="20"/>
        </w:rPr>
        <w:t xml:space="preserve">7  |  AI Incident Rate  |  &lt; 5 per 1000  |  ___  |  ⬜</w:t>
      </w:r>
    </w:p>
    <w:p>
      <w:r>
        <w:rPr>
          <w:sz w:val="20"/>
        </w:rPr>
        <w:t xml:space="preserve">8  |  Prompt Injection Block Rate  |  &gt; 95%  |  ___  |  ⬜</w:t>
      </w:r>
    </w:p>
    <w:p>
      <w:r>
        <w:t xml:space="preserve">Monthly Summary:</w:t>
      </w:r>
    </w:p>
    <w:p>
      <w:pPr>
        <w:pStyle w:val="ListParagraph"/>
        <w:numPr>
          <w:ilvl w:val="0"/>
          <w:numId w:val="1"/>
        </w:numPr>
      </w:pPr>
      <w:r>
        <w:t xml:space="preserve">Total KPIs meeting target: ___ / 8</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r>
        <w:rPr>
          <w:sz w:val="20"/>
        </w:rPr>
        <w:t xml:space="preserve">8  |  AI Bias Audit Frequency  |  &gt; 1 per quarter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r>
        <w:rPr>
          <w:sz w:val="20"/>
        </w:rPr>
        <w:t xml:space="preserve">AI Model Accuracy  |  ___  |  ___  |  ___  |  ___  |  &gt; 90% (application-specific)</w:t>
      </w:r>
    </w:p>
    <w:p>
      <w:r>
        <w:rPr>
          <w:sz w:val="20"/>
        </w:rPr>
        <w:t xml:space="preserve">AI Incident Rate  |  ___  |  ___  |  ___  |  ___  |  &lt; 5 per 1000</w:t>
      </w:r>
    </w:p>
    <w:p>
      <w:r>
        <w:rPr>
          <w:sz w:val="20"/>
        </w:rPr>
        <w:t xml:space="preserve">Prompt Injection Block Rate  |  ___  |  ___  |  ___  |  ___  |  &gt; 95%</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16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r>
        <w:rPr>
          <w:sz w:val="20"/>
        </w:rPr>
        <w:t xml:space="preserve">AI Model Accuracy  |  ___  |  ___  |  ___  |  ___  |  ___  |  &gt; 90% (application-specific)  |  ⬜</w:t>
      </w:r>
    </w:p>
    <w:p>
      <w:r>
        <w:rPr>
          <w:sz w:val="20"/>
        </w:rPr>
        <w:t xml:space="preserve">AI Bias Audit Frequency  |  ___  |  ___  |  ___  |  ___  |  ___  |  &gt; 1 per quarter  |  ⬜</w:t>
      </w:r>
    </w:p>
    <w:p>
      <w:r>
        <w:rPr>
          <w:sz w:val="20"/>
        </w:rPr>
        <w:t xml:space="preserve">AI Incident Rate  |  ___  |  ___  |  ___  |  ___  |  ___  |  &lt; 5 per 1000  |  ⬜</w:t>
      </w:r>
    </w:p>
    <w:p>
      <w:r>
        <w:rPr>
          <w:sz w:val="20"/>
        </w:rPr>
        <w:t xml:space="preserve">Prompt Injection Block Rate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AI Governance  |  10%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legal@acme.com</w:t>
      </w:r>
    </w:p>
    <w:p>
      <w:pPr>
        <w:pStyle w:val="ListParagraph"/>
        <w:numPr>
          <w:ilvl w:val="0"/>
          <w:numId w:val="1"/>
        </w:numPr>
      </w:pPr>
      <w:r>
        <w:t xml:space="preserve">**Data Protection Officer:** dpo@acme-saas.com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