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Company: Acme Inc</w:t>
      </w:r>
    </w:p>
    <w:p>
      <w:r>
        <w:t xml:space="preserve">Last updated: 2026-03-18</w:t>
      </w:r>
    </w:p>
    <w:p>
      <w:r>
        <w:t xml:space="preserve">Project: nextjs-saas-example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@sentry/node  |  Error Monitoring  |  error data, stack traces, user context</w:t>
      </w:r>
    </w:p>
    <w:p>
      <w:r>
        <w:rPr>
          <w:sz w:val="20"/>
        </w:rPr>
        <w:t xml:space="preserve">@supabase/supabase-js  |  Authentication  |  email, password hash, session data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</w:t>
      </w:r>
    </w:p>
    <w:p>
      <w:r>
        <w:rPr>
          <w:sz w:val="20"/>
        </w:rPr>
        <w:t xml:space="preserve">stripe-ios  |  Payment Processing  |  payment information, billing address, email</w:t>
      </w:r>
    </w:p>
    <w:p>
      <w:pPr>
        <w:pStyle w:val="Heading2"/>
      </w:pPr>
      <w:r>
        <w:t>2. California Consumer Privacy Act (CCPA/CPRA)</w:t>
      </w:r>
    </w:p>
    <w:p>
      <w:r>
        <w:t xml:space="preserve">Applies to: Businesses that collect personal information of California residents</w:t>
      </w:r>
    </w:p>
    <w:p>
      <w:r>
        <w:t xml:space="preserve">Enforcement date: January 1, 2020 (CCPA); January 1, 2023 (CPRA amendments)</w:t>
      </w:r>
    </w:p>
    <w:p>
      <w:r>
        <w:t xml:space="preserve">Maximum fine: $7,500 per intentional violation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Provide a "Do Not Sell or Share My Personal Information" link</w:t>
      </w:r>
    </w:p>
    <w:p>
      <w:pPr>
        <w:pStyle w:val="ListParagraph"/>
        <w:numPr>
          <w:ilvl w:val="0"/>
          <w:numId w:val="1"/>
        </w:numPr>
      </w:pPr>
      <w:r>
        <w:t xml:space="preserve">[ ] Disclose categories of personal information collected and purposes</w:t>
      </w:r>
    </w:p>
    <w:p>
      <w:pPr>
        <w:pStyle w:val="ListParagraph"/>
        <w:numPr>
          <w:ilvl w:val="0"/>
          <w:numId w:val="1"/>
        </w:numPr>
      </w:pPr>
      <w:r>
        <w:t xml:space="preserve">[ ] Honor opt-out requests within 15 business days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</w:t>
      </w:r>
    </w:p>
    <w:p>
      <w:pPr>
        <w:pStyle w:val="ListParagraph"/>
        <w:numPr>
          <w:ilvl w:val="0"/>
          <w:numId w:val="1"/>
        </w:numPr>
      </w:pPr>
      <w:r>
        <w:t xml:space="preserve">[ ] Provide at least two methods for consumers to submit requests</w:t>
      </w:r>
    </w:p>
    <w:p>
      <w:pPr>
        <w:pStyle w:val="ListParagraph"/>
        <w:numPr>
          <w:ilvl w:val="0"/>
          <w:numId w:val="1"/>
        </w:numPr>
      </w:pPr>
      <w:r>
        <w:t xml:space="preserve">[ ] Include CCPA-specific disclosures in your privacy policy</w:t>
      </w:r>
    </w:p>
    <w:p>
      <w:pPr>
        <w:pStyle w:val="ListParagraph"/>
        <w:numPr>
          <w:ilvl w:val="0"/>
          <w:numId w:val="1"/>
        </w:numPr>
      </w:pPr>
      <w:r>
        <w:t xml:space="preserve">[ ] Honor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[ ] Review analytics service data sharing — may constitute "sale" or "sharing" under CCPA</w:t>
      </w:r>
    </w:p>
    <w:p>
      <w:pPr>
        <w:pStyle w:val="ListParagraph"/>
        <w:numPr>
          <w:ilvl w:val="0"/>
          <w:numId w:val="1"/>
        </w:numPr>
      </w:pPr>
      <w:r>
        <w:t xml:space="preserve">[ ] Ensure payment processors have appropriate data processing agreements</w:t>
      </w:r>
    </w:p>
    <w:p>
      <w:pPr>
        <w:pStyle w:val="Heading2"/>
      </w:pPr>
      <w:r>
        <w:t>3.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pStyle w:val="ListParagraph"/>
        <w:numPr>
          <w:ilvl w:val="0"/>
          <w:numId w:val="1"/>
        </w:numPr>
      </w:pPr>
      <w:r>
        <w:t xml:space="preserve">[ ] Classify detected analytics cookies and ensure each requires consent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4. EU AI Act (Regulation 2024/1689)</w:t>
      </w:r>
    </w:p>
    <w:p>
      <w:r>
        <w:t xml:space="preserve">Applies to: Providers and deployers of AI systems in the EU</w:t>
      </w:r>
    </w:p>
    <w:p>
      <w:r>
        <w:t xml:space="preserve">Transparency obligations enforcement: August 2, 2026</w:t>
      </w:r>
    </w:p>
    <w:p>
      <w:r>
        <w:t xml:space="preserve">Maximum fine: EUR 35 million or 7% of annual global turnover</w:t>
      </w:r>
    </w:p>
    <w:p>
      <w:pPr>
        <w:pStyle w:val="Heading3"/>
      </w:pPr>
      <w:r>
        <w:t>Key Requirements for Deployers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(minimal, limited, high, unacceptable)</w:t>
      </w:r>
    </w:p>
    <w:p>
      <w:pPr>
        <w:pStyle w:val="ListParagraph"/>
        <w:numPr>
          <w:ilvl w:val="0"/>
          <w:numId w:val="1"/>
        </w:numPr>
      </w:pPr>
      <w:r>
        <w:t xml:space="preserve">[ ] Provide transparency disclosures per Article 50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measures</w:t>
      </w:r>
    </w:p>
    <w:p>
      <w:pPr>
        <w:pStyle w:val="ListParagraph"/>
        <w:numPr>
          <w:ilvl w:val="0"/>
          <w:numId w:val="1"/>
        </w:numPr>
      </w:pPr>
      <w:r>
        <w:t xml:space="preserve">[ ] Mark AI-generated content in machine-readable format (Art. 50(2))</w:t>
      </w:r>
    </w:p>
    <w:p>
      <w:pPr>
        <w:pStyle w:val="ListParagraph"/>
        <w:numPr>
          <w:ilvl w:val="0"/>
          <w:numId w:val="1"/>
        </w:numPr>
      </w:pPr>
      <w:r>
        <w:t xml:space="preserve">[ ] Maintain documentation of AI system usage</w:t>
      </w:r>
    </w:p>
    <w:p>
      <w:pPr>
        <w:ind w:left="720"/>
      </w:pPr>
      <w:r>
        <w:rPr>
          <w:i/>
          <w:color w:val="666666"/>
        </w:rPr>
        <w:t xml:space="preserve">See the generated **AI Disclosure** and **AI Act Compliance Checklist** documents for detailed requirements.</w:t>
      </w:r>
    </w:p>
    <w:p>
      <w:pPr>
        <w:pStyle w:val="Heading2"/>
      </w:pPr>
      <w:r>
        <w:t>5.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6.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