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Acme Inc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Date: 2026-03-18</w:t>
      </w:r>
    </w:p>
    <w:p>
      <w:r>
        <w:t xml:space="preserve">Prepared by: Jane Mueller (dpo@acme-saas.com)</w:t>
      </w:r>
    </w:p>
    <w:p>
      <w:r>
        <w:t xml:space="preserve">Contact: legal@acme.com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Acme Inc currently operates 8 third-party service(s) that process user data. A total of 83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8</w:t>
      </w:r>
    </w:p>
    <w:p>
      <w:r>
        <w:rPr>
          <w:sz w:val="20"/>
        </w:rPr>
        <w:t xml:space="preserve">Documents Generated  |  83</w:t>
      </w:r>
    </w:p>
    <w:p>
      <w:r>
        <w:rPr>
          <w:sz w:val="20"/>
        </w:rPr>
        <w:t xml:space="preserve">Applicable Jurisdictions  |  EU, US-CA, US-VA, UK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1  |  openai</w:t>
      </w:r>
    </w:p>
    <w:p>
      <w:r>
        <w:rPr>
          <w:sz w:val="20"/>
        </w:rPr>
        <w:t xml:space="preserve">Analytics  |  1  |  posthog</w:t>
      </w:r>
    </w:p>
    <w:p>
      <w:r>
        <w:rPr>
          <w:sz w:val="20"/>
        </w:rPr>
        <w:t xml:space="preserve">Auth  |  1  |  @supabase/supabase-js</w:t>
      </w:r>
    </w:p>
    <w:p>
      <w:r>
        <w:rPr>
          <w:sz w:val="20"/>
        </w:rPr>
        <w:t xml:space="preserve">Database  |  1  |  prisma</w:t>
      </w:r>
    </w:p>
    <w:p>
      <w:r>
        <w:rPr>
          <w:sz w:val="20"/>
        </w:rPr>
        <w:t xml:space="preserve">Email  |  1  |  resend</w:t>
      </w:r>
    </w:p>
    <w:p>
      <w:r>
        <w:rPr>
          <w:sz w:val="20"/>
        </w:rPr>
        <w:t xml:space="preserve">Monitoring  |  1  |  @sentry/node</w:t>
      </w:r>
    </w:p>
    <w:p>
      <w:r>
        <w:rPr>
          <w:sz w:val="20"/>
        </w:rPr>
        <w:t xml:space="preserve">Payment  |  2  |  stripe, stripe-ios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**AI/ML Services Detected** (openai): EU AI Act Art. 50 transparency obligations apply. AI Disclosure document required.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(stripe, stripe-ios): PCI DSS compliance required. Data Processing Agreement must list payment sub-processors.</w:t>
      </w:r>
    </w:p>
    <w:p>
      <w:pPr>
        <w:pStyle w:val="ListParagraph"/>
        <w:numPr>
          <w:ilvl w:val="0"/>
          <w:numId w:val="2"/>
        </w:numPr>
      </w:pPr>
      <w:r>
        <w:t xml:space="preserve">**Analytics/Monitoring** (@sentry/node, posthog): Cookie consent and tracking disclosure required under GDPR/ePrivacy.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Art. 50 compliance before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Covered  |  AI Disclosure, AI Model Card, AI Governance Framework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2026-03-18. This is an automated compliance summary based on code analysis. It should be reviewed by qualified legal counsel before distribution.</w:t>
      </w:r>
    </w:p>
    <w:p>
      <w:r>
        <w:t xml:space="preserve">Report generated from analysis of 8 service(s) across 7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