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Acme Inc | Assessment Date: 2026-03-18 | Project: nextjs-saas-example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🟡  |  **CCPA**  |  Action Required  |  Analytics/advertising services detected. "Do Not Sell" opt-out mechanism required for CA users.</w:t>
      </w:r>
    </w:p>
    <w:p>
      <w:r>
        <w:rPr>
          <w:sz w:val="20"/>
        </w:rPr>
        <w:t xml:space="preserve">🟡  |  **EU AI Act**  |  Transparency Required  |  1 AI service(s) detected. Transparency obligations apply under Art. 52.</w:t>
      </w:r>
    </w:p>
    <w:p>
      <w:r>
        <w:rPr>
          <w:sz w:val="20"/>
        </w:rPr>
        <w:t xml:space="preserve">🟡  |  **PCI DSS**  |  Compliance Required  |  2 payment service(s) detected (stripe, stripe-ios).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8</w:t>
      </w:r>
    </w:p>
    <w:p>
      <w:r>
        <w:rPr>
          <w:sz w:val="20"/>
        </w:rPr>
        <w:t xml:space="preserve">Data Categories Collected  |  9</w:t>
      </w:r>
    </w:p>
    <w:p>
      <w:r>
        <w:rPr>
          <w:sz w:val="20"/>
        </w:rPr>
        <w:t xml:space="preserve">Regulations: Action Required  |  4</w:t>
      </w:r>
    </w:p>
    <w:p>
      <w:r>
        <w:rPr>
          <w:sz w:val="20"/>
        </w:rPr>
        <w:t xml:space="preserve">Regulations: Compliant  |  1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8 third-party data processors increase attack surface. Each processor represents a potential breach vector.</w:t>
      </w:r>
    </w:p>
    <w:p>
      <w:r>
        <w:rPr>
          <w:sz w:val="20"/>
        </w:rPr>
        <w:t xml:space="preserve">2  |  **Non-Compliant AI Deployment**  |  Up to EUR 35M or 7% of global turnover (EU AI Act)  |  AI services without proper transparency disclosures and risk assessments.</w:t>
      </w:r>
    </w:p>
    <w:p>
      <w:r>
        <w:rPr>
          <w:sz w:val="20"/>
        </w:rPr>
        <w:t xml:space="preserve">3  |  **Inadequate Cookie/Tracking Consent**  |  Up to EUR 20M or 4% of turnover (GDPR ePrivacy)  |  Analytics and advertising trackers detected without verified consent mechanisms.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2026-08-02  |  EU AI Act  |  Full EU AI Act enforcement begins. Ensure AI transparency and risk classification.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4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2026-03-18.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