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Acme Inc</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Acme Inc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8</w:t>
      </w:r>
    </w:p>
    <w:p>
      <w:r>
        <w:rPr>
          <w:sz w:val="20"/>
        </w:rPr>
        <w:t xml:space="preserve">Service categories  |  monitoring, auth, ai, analytics, database, email, payment</w:t>
      </w:r>
    </w:p>
    <w:p>
      <w:r>
        <w:rPr>
          <w:sz w:val="20"/>
        </w:rPr>
        <w:t xml:space="preserve">DPA agreements in place  |  [N] / 8</w:t>
      </w:r>
    </w:p>
    <w:p>
      <w:r>
        <w:rPr>
          <w:sz w:val="20"/>
        </w:rPr>
        <w:t xml:space="preserve">Vendor security reviews completed  |  [N] / 8</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Acme Inc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legal@acme.com</w:t>
      </w:r>
    </w:p>
    <w:p>
      <w:r>
        <w:t xml:space="preserve">Data Protection Officer: dpo@acme-saas.com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2026-03-18.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