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**Acme Inc**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2026-03-18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1. Welcome</w:t>
      </w:r>
    </w:p>
    <w:p>
      <w:r>
        <w:t xml:space="preserve">Welcome to Acme Inc.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legal@acme.com</w:t>
      </w:r>
    </w:p>
    <w:p>
      <w:r>
        <w:rPr>
          <w:sz w:val="20"/>
        </w:rPr>
        <w:t xml:space="preserve">**Data Protection Officer (DPO)**  |  Jane Mueller (dpo@acme-saas.com)</w:t>
      </w:r>
    </w:p>
    <w:p>
      <w:r>
        <w:rPr>
          <w:sz w:val="20"/>
        </w:rPr>
        <w:t xml:space="preserve">**Security Team**  |  legal@acme.com</w:t>
      </w:r>
    </w:p>
    <w:p>
      <w:r>
        <w:rPr>
          <w:sz w:val="20"/>
        </w:rPr>
        <w:t xml:space="preserve">**Incident Reporting**  |  legal@acme.com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@sentry/node  |  Error Monitoring  |  error data, stack traces, user context, device information, IP address</w:t>
      </w:r>
    </w:p>
    <w:p>
      <w:r>
        <w:rPr>
          <w:sz w:val="20"/>
        </w:rPr>
        <w:t xml:space="preserve">@supabase/supabase-js  |  Authentication  |  email, password hash, session data, user metadata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stripe-ios  |  Payment Processing  |  payment information, billing address, email, transaction history</w:t>
      </w:r>
    </w:p>
    <w:p>
      <w:r>
        <w:t xml:space="preserve">Total services: 8.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3"/>
      </w:pPr>
      <w:r>
        <w:t>AI-Specific Reading (Required for AI Team Members)</w:t>
      </w:r>
    </w:p>
    <w:p>
      <w:r>
        <w:t xml:space="preserve">Our application uses AI services. If you work on AI features or use AI tools in your workflow, these are mandatory: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[AI Disclosure](./AI_DISCLOSURE.md)  |  Understand how AI usage is disclosed to end users (EU AI Act Art. 50)</w:t>
      </w:r>
    </w:p>
    <w:p>
      <w:r>
        <w:rPr>
          <w:sz w:val="20"/>
        </w:rPr>
        <w:t xml:space="preserve">[Acceptable AI Use Policy](./ACCEPTABLE_AI_USE_POLICY.md)  |  Know the rules for using AI tools in your work</w:t>
      </w:r>
    </w:p>
    <w:p>
      <w:r>
        <w:rPr>
          <w:sz w:val="20"/>
        </w:rPr>
        <w:t xml:space="preserve">[AI Governance Framework](./AI_GOVERNANCE_FRAMEWORK.md)  |  Understand the oversight structure for AI systems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3"/>
      </w:pPr>
      <w:r>
        <w:t>AI Usage Rules</w:t>
      </w:r>
    </w:p>
    <w:p>
      <w:pPr>
        <w:pStyle w:val="ListParagraph"/>
        <w:numPr>
          <w:ilvl w:val="0"/>
          <w:numId w:val="1"/>
        </w:numPr>
      </w:pPr>
      <w:r>
        <w:t xml:space="preserve">Do not input sensitive personal data (PII, health data, financial data)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All AI-generated outputs must be reviewed by a human before being used in decisions affecting users</w:t>
      </w:r>
    </w:p>
    <w:p>
      <w:pPr>
        <w:pStyle w:val="ListParagraph"/>
        <w:numPr>
          <w:ilvl w:val="0"/>
          <w:numId w:val="1"/>
        </w:numPr>
      </w:pPr>
      <w:r>
        <w:t xml:space="preserve">AI tool usage must comply with the Acceptable AI Use Policy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AI systems (EU AI Act Art. 50)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Read AI-specific documents (if applicable to your role)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Yes, within the boundaries of our Acceptable AI Use Policy. Do not input sensitive personal data. All outputs must be reviewed before use.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