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Acme Inc</w:t>
      </w:r>
    </w:p>
    <w:p>
      <w:r>
        <w:t xml:space="preserve">Last updated: 2026-03-18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Content you provide to AI-powered features (text, files, prompts)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@sentry/node, @supabase/supabase-js, openai, posthog, prisma, resend + 2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AI Features</w:t>
      </w:r>
    </w:p>
    <w:p>
      <w:r>
        <w:t xml:space="preserve">This app uses AI (openai):</w:t>
      </w:r>
    </w:p>
    <w:p>
      <w:pPr>
        <w:pStyle w:val="ListParagraph"/>
        <w:numPr>
          <w:ilvl w:val="0"/>
          <w:numId w:val="1"/>
        </w:numPr>
      </w:pPr>
      <w:r>
        <w:t xml:space="preserve">Your inputs are processed to generate responses</w:t>
      </w:r>
    </w:p>
    <w:p>
      <w:pPr>
        <w:pStyle w:val="ListParagraph"/>
        <w:numPr>
          <w:ilvl w:val="0"/>
          <w:numId w:val="1"/>
        </w:numPr>
      </w:pPr>
      <w:r>
        <w:t xml:space="preserve">We do not use your data to train AI models without consent</w:t>
      </w:r>
    </w:p>
    <w:p>
      <w:pPr>
        <w:pStyle w:val="ListParagraph"/>
        <w:numPr>
          <w:ilvl w:val="0"/>
          <w:numId w:val="1"/>
        </w:numPr>
      </w:pPr>
      <w:r>
        <w:t xml:space="preserve">You can opt out of AI features at any time</w:t>
      </w:r>
    </w:p>
    <w:p>
      <w:pPr>
        <w:pStyle w:val="ListParagraph"/>
        <w:numPr>
          <w:ilvl w:val="0"/>
          <w:numId w:val="1"/>
        </w:numPr>
      </w:pPr>
      <w:r>
        <w:t xml:space="preserve">See our [AI Disclosure](./AI_DISCLOSURE.md) for full details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legal@acme.com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legal@acme.com.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[AI Disclosure](./AI_DISCLOSURE.md) — how AI features work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https://acme-saas.com.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