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**Acme Inc**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2026-03-18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Acme Inc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`analytics`  |  Website/app analytics and usage tracking  |  Consent (Art. 6(1)(a))</w:t>
      </w:r>
    </w:p>
    <w:p>
      <w:r>
        <w:rPr>
          <w:sz w:val="20"/>
        </w:rPr>
        <w:t xml:space="preserve">`marketing`  |  Marketing emails, newsletters, promotions  |  Consent (Art. 6(1)(a))</w:t>
      </w:r>
    </w:p>
    <w:p>
      <w:r>
        <w:rPr>
          <w:sz w:val="20"/>
        </w:rPr>
        <w:t xml:space="preserve">`advertising`  |  Targeted advertising and ad personalisation  |  Consent (Art. 6(1)(a))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`ai_processing`  |  AI/ML model training or automated decision-making  |  Explicit consent (Art. 9(2)(a) / Art. 22(2)(c))</w:t>
      </w:r>
    </w:p>
    <w:p>
      <w:r>
        <w:rPr>
          <w:sz w:val="20"/>
        </w:rPr>
        <w:t xml:space="preserve">`payment`  |  Storing payment details for future transactions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"2026-03-18T14:30:00Z",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"2027-03-18T00:00:00Z",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"https://acme-saas.com/signup",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"2026-03-18T16:45:00Z",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"https://acme-saas.com/settings/privacy",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dpo@acme-saas.com</w:t>
      </w:r>
    </w:p>
    <w:p>
      <w:r>
        <w:rPr>
          <w:sz w:val="20"/>
        </w:rPr>
        <w:t xml:space="preserve">Audit consent collection mechanisms  |  Annually  |  dpo@acme-saas.com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dpo@acme-saas.com</w:t>
      </w:r>
    </w:p>
    <w:p>
      <w:pPr>
        <w:pStyle w:val="ListParagraph"/>
        <w:numPr>
          <w:ilvl w:val="0"/>
          <w:numId w:val="1"/>
        </w:numPr>
      </w:pPr>
      <w:r>
        <w:t xml:space="preserve">**General Contact:** legal@acme.com</w:t>
      </w:r>
    </w:p>
    <w:p>
      <w:pPr>
        <w:pStyle w:val="ListParagraph"/>
        <w:numPr>
          <w:ilvl w:val="0"/>
          <w:numId w:val="1"/>
        </w:numPr>
      </w:pPr>
      <w:r>
        <w:t xml:space="preserve">**Website:** https://acme-saas.com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