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5  |  No (exempt under ePrivacy Directive Art. 5(3))</w:t>
      </w:r>
    </w:p>
    <w:p>
      <w:r>
        <w:rPr>
          <w:sz w:val="20"/>
        </w:rPr>
        <w:t xml:space="preserve">Analytics  |  2  |  Yes</w:t>
      </w:r>
    </w:p>
    <w:p>
      <w:r>
        <w:rPr>
          <w:sz w:val="20"/>
        </w:rPr>
        <w:t xml:space="preserve">**Total**  |  **7**</w:t>
      </w:r>
    </w:p>
    <w:p>
      <w:pPr>
        <w:pStyle w:val="Heading2"/>
      </w:pPr>
      <w:r>
        <w:t>Strictly Necessary Cookies</w:t>
      </w:r>
    </w:p>
    <w:p>
      <w:r>
        <w:t xml:space="preserve">These cookies are essential for the application to function and cannot be disabled. They do not require user consent under Article 5(3) of the ePrivacy Directive.</w:t>
      </w:r>
    </w:p>
    <w:p>
      <w:r>
        <w:rPr>
          <w:sz w:val="20"/>
        </w:rPr>
        <w:t xml:space="preserve">Cookie Name  |  Purpose  |  Duration  |  Provider</w:t>
      </w:r>
    </w:p>
    <w:p>
      <w:r>
        <w:rPr>
          <w:sz w:val="20"/>
        </w:rPr>
        <w:t xml:space="preserve">`session_id / connect.sid`  |  Maintains authenticated user session on the server  |  Session or configured expiry  |  First-party</w:t>
      </w:r>
    </w:p>
    <w:p>
      <w:r>
        <w:rPr>
          <w:sz w:val="20"/>
        </w:rPr>
        <w:t xml:space="preserve">`auth_token / jwt`  |  Stores authentication token for API authorization  |  Varies (typically 1 hour to 30 days)  |  First-party</w:t>
      </w:r>
    </w:p>
    <w:p>
      <w:r>
        <w:rPr>
          <w:sz w:val="20"/>
        </w:rPr>
        <w:t xml:space="preserve">`csrf_token / XSRF-TOKEN`  |  Prevents cross-site request forgery attacks  |  Session  |  First-party</w:t>
      </w:r>
    </w:p>
    <w:p>
      <w:r>
        <w:rPr>
          <w:sz w:val="20"/>
        </w:rPr>
        <w:t xml:space="preserve">`refresh_token`  |  Enables silent re-authentication when access token expires  |  30-90 days (varies)  |  First-party</w:t>
      </w:r>
    </w:p>
    <w:p>
      <w:r>
        <w:rPr>
          <w:sz w:val="20"/>
        </w:rPr>
        <w:t xml:space="preserve">`sb-*-auth-token`  |  Stores Supabase authentication session token  |  1 hour (refreshed)  |  Supabase Inc</w:t>
      </w:r>
    </w:p>
    <w:p>
      <w:pPr>
        <w:pStyle w:val="Heading2"/>
      </w:pPr>
      <w:r>
        <w:t>Analytics Cookies</w:t>
      </w:r>
    </w:p>
    <w:p>
      <w:r>
        <w:t xml:space="preserve">These cookies collect information about how visitors use the application. They require explicit user consent before being set.</w:t>
      </w:r>
    </w:p>
    <w:p>
      <w:r>
        <w:rPr>
          <w:sz w:val="20"/>
        </w:rPr>
        <w:t xml:space="preserve">Cookie Name  |  Purpose  |  Duration  |  Provider  |  Service</w:t>
      </w:r>
    </w:p>
    <w:p>
      <w:r>
        <w:rPr>
          <w:sz w:val="20"/>
        </w:rPr>
        <w:t xml:space="preserve">`ph_*`  |  Identifies unique users for product analytics and session recording  |  1 year  |  PostHog Inc  |  posthog</w:t>
      </w:r>
    </w:p>
    <w:p>
      <w:r>
        <w:rPr>
          <w:sz w:val="20"/>
        </w:rPr>
        <w:t xml:space="preserve">`distinct_id`  |  Identifies users across sessions for analytics continuity  |  1 year  |  PostHog Inc  |  posthog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Authentication Services</w:t>
      </w:r>
    </w:p>
    <w:p>
      <w:pPr>
        <w:pStyle w:val="ListParagraph"/>
        <w:numPr>
          <w:ilvl w:val="0"/>
          <w:numId w:val="1"/>
        </w:numPr>
      </w:pPr>
      <w:r>
        <w:t xml:space="preserve">**@supabase/supabase-js** — detected in `package.json`, `.env.example`</w:t>
      </w:r>
    </w:p>
    <w:p>
      <w:pPr>
        <w:pStyle w:val="Heading3"/>
      </w:pPr>
      <w:r>
        <w:t>Analytics &amp; Advertising Services</w:t>
      </w:r>
    </w:p>
    <w:p>
      <w:pPr>
        <w:pStyle w:val="ListParagraph"/>
        <w:numPr>
          <w:ilvl w:val="0"/>
          <w:numId w:val="1"/>
        </w:numPr>
      </w:pPr>
      <w:r>
        <w:t xml:space="preserve">**posthog** — detected in `.env.example`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legal@acme.com.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nextjs-saas-example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